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FAD" w:rsidRPr="0081095A" w:rsidRDefault="00B601F4" w:rsidP="0078352B">
      <w:pPr>
        <w:keepNext/>
        <w:keepLines/>
        <w:rPr>
          <w:b/>
          <w:u w:val="single"/>
        </w:rPr>
      </w:pPr>
      <w:r w:rsidRPr="0081095A">
        <w:rPr>
          <w:b/>
          <w:u w:val="single"/>
        </w:rPr>
        <w:t>PAVEMENT INTERLAYER</w:t>
      </w:r>
      <w:r w:rsidR="00D1351A" w:rsidRPr="0081095A">
        <w:rPr>
          <w:b/>
          <w:u w:val="single"/>
        </w:rPr>
        <w:t>:</w:t>
      </w:r>
    </w:p>
    <w:tbl>
      <w:tblPr>
        <w:tblW w:w="0" w:type="auto"/>
        <w:tblLayout w:type="fixed"/>
        <w:tblLook w:val="0000" w:firstRow="0" w:lastRow="0" w:firstColumn="0" w:lastColumn="0" w:noHBand="0" w:noVBand="0"/>
      </w:tblPr>
      <w:tblGrid>
        <w:gridCol w:w="4788"/>
        <w:gridCol w:w="4788"/>
      </w:tblGrid>
      <w:tr w:rsidR="0081095A" w:rsidTr="001C5D2C">
        <w:tc>
          <w:tcPr>
            <w:tcW w:w="4788" w:type="dxa"/>
          </w:tcPr>
          <w:p w:rsidR="0081095A" w:rsidRDefault="0081095A" w:rsidP="00663571">
            <w:pPr>
              <w:keepLines/>
              <w:jc w:val="both"/>
            </w:pPr>
            <w:r>
              <w:rPr>
                <w:sz w:val="16"/>
              </w:rPr>
              <w:t>(</w:t>
            </w:r>
            <w:r w:rsidR="00280965">
              <w:rPr>
                <w:sz w:val="16"/>
              </w:rPr>
              <w:t>10</w:t>
            </w:r>
            <w:r>
              <w:rPr>
                <w:sz w:val="16"/>
              </w:rPr>
              <w:t>-</w:t>
            </w:r>
            <w:r w:rsidR="00280965">
              <w:rPr>
                <w:sz w:val="16"/>
              </w:rPr>
              <w:t>0</w:t>
            </w:r>
            <w:r w:rsidR="00663571">
              <w:rPr>
                <w:sz w:val="16"/>
              </w:rPr>
              <w:t>9</w:t>
            </w:r>
            <w:r>
              <w:rPr>
                <w:sz w:val="16"/>
              </w:rPr>
              <w:t>-1</w:t>
            </w:r>
            <w:r w:rsidR="00280965">
              <w:rPr>
                <w:sz w:val="16"/>
              </w:rPr>
              <w:t>4</w:t>
            </w:r>
            <w:r>
              <w:rPr>
                <w:sz w:val="16"/>
              </w:rPr>
              <w:t>)</w:t>
            </w:r>
            <w:r w:rsidR="00DB03DF">
              <w:rPr>
                <w:sz w:val="16"/>
              </w:rPr>
              <w:t xml:space="preserve"> (Rev. 2-13-15)</w:t>
            </w:r>
          </w:p>
        </w:tc>
        <w:tc>
          <w:tcPr>
            <w:tcW w:w="4788" w:type="dxa"/>
          </w:tcPr>
          <w:p w:rsidR="0081095A" w:rsidRDefault="00602984" w:rsidP="0078352B">
            <w:pPr>
              <w:keepLines/>
              <w:jc w:val="right"/>
            </w:pPr>
            <w:r>
              <w:rPr>
                <w:sz w:val="16"/>
              </w:rPr>
              <w:t>SPD 6-300</w:t>
            </w:r>
          </w:p>
        </w:tc>
      </w:tr>
    </w:tbl>
    <w:p w:rsidR="00CE04CE" w:rsidRPr="0081095A" w:rsidRDefault="00CE04CE" w:rsidP="0078352B">
      <w:pPr>
        <w:keepNext/>
        <w:keepLines/>
        <w:rPr>
          <w:b/>
        </w:rPr>
      </w:pPr>
    </w:p>
    <w:p w:rsidR="00D1351A" w:rsidRPr="0081095A" w:rsidRDefault="00D1351A" w:rsidP="00D1351A">
      <w:pPr>
        <w:keepNext/>
        <w:keepLines/>
        <w:jc w:val="both"/>
        <w:rPr>
          <w:b/>
        </w:rPr>
      </w:pPr>
      <w:r w:rsidRPr="0081095A">
        <w:rPr>
          <w:b/>
        </w:rPr>
        <w:t>Description</w:t>
      </w:r>
    </w:p>
    <w:p w:rsidR="00D1351A" w:rsidRPr="0081095A" w:rsidRDefault="00D1351A" w:rsidP="00D1351A">
      <w:pPr>
        <w:keepNext/>
        <w:keepLines/>
        <w:jc w:val="both"/>
      </w:pPr>
    </w:p>
    <w:p w:rsidR="00EE4FAD" w:rsidRPr="0081095A" w:rsidRDefault="00B601F4" w:rsidP="00F23EAF">
      <w:pPr>
        <w:jc w:val="both"/>
      </w:pPr>
      <w:r w:rsidRPr="0081095A">
        <w:t xml:space="preserve">Furnish and install a pavement interlayer for reinforcement of an asphalt overlay </w:t>
      </w:r>
      <w:r w:rsidR="00EE4FAD" w:rsidRPr="0081095A">
        <w:t>at locations shown on the plans.</w:t>
      </w:r>
    </w:p>
    <w:p w:rsidR="00D1351A" w:rsidRPr="0081095A" w:rsidRDefault="00D1351A" w:rsidP="00F23EAF">
      <w:pPr>
        <w:jc w:val="both"/>
      </w:pPr>
    </w:p>
    <w:p w:rsidR="00D1351A" w:rsidRPr="0081095A" w:rsidRDefault="00D1351A" w:rsidP="00D1351A">
      <w:pPr>
        <w:keepNext/>
        <w:keepLines/>
        <w:jc w:val="both"/>
        <w:rPr>
          <w:b/>
        </w:rPr>
      </w:pPr>
      <w:r w:rsidRPr="0081095A">
        <w:rPr>
          <w:b/>
        </w:rPr>
        <w:t>Materials</w:t>
      </w:r>
    </w:p>
    <w:p w:rsidR="00D1351A" w:rsidRPr="0081095A" w:rsidRDefault="00D1351A" w:rsidP="00D1351A">
      <w:pPr>
        <w:keepNext/>
        <w:keepLines/>
        <w:jc w:val="both"/>
      </w:pPr>
    </w:p>
    <w:p w:rsidR="00EE4FAD" w:rsidRPr="0081095A" w:rsidRDefault="0004159E">
      <w:pPr>
        <w:jc w:val="both"/>
      </w:pPr>
      <w:r>
        <w:t xml:space="preserve">Pavement Interlayer shall meet the requirements of </w:t>
      </w:r>
      <w:r w:rsidR="007E5D0B" w:rsidRPr="0081095A">
        <w:t xml:space="preserve">Option A or Option B </w:t>
      </w:r>
      <w:r w:rsidR="00CE5F9C" w:rsidRPr="0081095A">
        <w:t>or an approved equal</w:t>
      </w:r>
      <w:r w:rsidR="007E5D0B" w:rsidRPr="0081095A">
        <w:t xml:space="preserve">.  </w:t>
      </w:r>
      <w:r w:rsidR="00D1351A" w:rsidRPr="0081095A">
        <w:t>T</w:t>
      </w:r>
      <w:r w:rsidR="00EE4FAD" w:rsidRPr="0081095A">
        <w:t xml:space="preserve">he </w:t>
      </w:r>
      <w:r w:rsidR="0081095A" w:rsidRPr="001C5D2C">
        <w:t xml:space="preserve">pavement interlayer </w:t>
      </w:r>
      <w:r w:rsidR="00EE4FAD" w:rsidRPr="0081095A">
        <w:t xml:space="preserve">shall be resistant to chemicals, mildew and rot, and shall not have any tears or holes that will adversely affect the in-situ performance and physical properties of the installed </w:t>
      </w:r>
      <w:r w:rsidR="0081095A" w:rsidRPr="001C5D2C">
        <w:t>pavement interlayer</w:t>
      </w:r>
      <w:r w:rsidR="00EE4FAD" w:rsidRPr="0081095A">
        <w:t>.</w:t>
      </w:r>
    </w:p>
    <w:p w:rsidR="00F23EAF" w:rsidRPr="0081095A" w:rsidRDefault="00F23EAF" w:rsidP="00F23EAF">
      <w:pPr>
        <w:jc w:val="both"/>
      </w:pPr>
    </w:p>
    <w:p w:rsidR="00F23EAF" w:rsidRPr="0081095A" w:rsidRDefault="0081095A" w:rsidP="00F23EAF">
      <w:pPr>
        <w:jc w:val="both"/>
      </w:pPr>
      <w:r>
        <w:t>P</w:t>
      </w:r>
      <w:r w:rsidRPr="001C5D2C">
        <w:t xml:space="preserve">avement interlayer </w:t>
      </w:r>
      <w:r w:rsidR="00D1351A" w:rsidRPr="0081095A">
        <w:t xml:space="preserve">shall </w:t>
      </w:r>
      <w:r w:rsidR="00F23EAF" w:rsidRPr="0081095A">
        <w:t>be capable of being placed on a milled asphalt surface</w:t>
      </w:r>
      <w:r w:rsidR="00CE5F9C" w:rsidRPr="0081095A">
        <w:t xml:space="preserve"> and overlaid with asphalt</w:t>
      </w:r>
      <w:r w:rsidR="007153C5" w:rsidRPr="0081095A">
        <w:t>, provide reinforcement to the asphalt overlay, and provide waterproofing capabilities</w:t>
      </w:r>
      <w:r w:rsidR="00F23EAF" w:rsidRPr="0081095A">
        <w:t>.</w:t>
      </w:r>
    </w:p>
    <w:p w:rsidR="00EE4FAD" w:rsidRPr="0081095A" w:rsidRDefault="00EE4FAD" w:rsidP="0078352B">
      <w:pPr>
        <w:pStyle w:val="Style1"/>
        <w:jc w:val="both"/>
      </w:pPr>
    </w:p>
    <w:p w:rsidR="0004159E" w:rsidRDefault="00EE4FAD" w:rsidP="0004159E">
      <w:pPr>
        <w:pStyle w:val="Style1"/>
        <w:jc w:val="both"/>
        <w:rPr>
          <w:b/>
        </w:rPr>
      </w:pPr>
      <w:r w:rsidRPr="0081095A">
        <w:t xml:space="preserve">Furnish with each shipment a Type 3 </w:t>
      </w:r>
      <w:r w:rsidR="00D1351A" w:rsidRPr="0081095A">
        <w:t xml:space="preserve">certification </w:t>
      </w:r>
      <w:r w:rsidRPr="0081095A">
        <w:t xml:space="preserve">in accordance with Article 106-3 </w:t>
      </w:r>
      <w:r w:rsidR="00D1351A" w:rsidRPr="0081095A">
        <w:t xml:space="preserve">of the </w:t>
      </w:r>
      <w:r w:rsidR="00D1351A" w:rsidRPr="0078352B">
        <w:rPr>
          <w:i/>
        </w:rPr>
        <w:t>201</w:t>
      </w:r>
      <w:r w:rsidR="00E35EDF">
        <w:rPr>
          <w:i/>
        </w:rPr>
        <w:t>8</w:t>
      </w:r>
      <w:r w:rsidR="00D1351A" w:rsidRPr="0078352B">
        <w:rPr>
          <w:i/>
        </w:rPr>
        <w:t> Standard Specifications</w:t>
      </w:r>
      <w:r w:rsidR="00D1351A" w:rsidRPr="0081095A">
        <w:t xml:space="preserve"> </w:t>
      </w:r>
      <w:r w:rsidR="00D23310" w:rsidRPr="0078352B">
        <w:t xml:space="preserve">to Engineer at least 14 days prior to beginning work.  </w:t>
      </w:r>
    </w:p>
    <w:p w:rsidR="0004159E" w:rsidRDefault="0004159E" w:rsidP="0078352B">
      <w:pPr>
        <w:keepNext/>
        <w:keepLines/>
        <w:jc w:val="both"/>
        <w:rPr>
          <w:b/>
        </w:rPr>
      </w:pPr>
    </w:p>
    <w:p w:rsidR="00FD6ED8" w:rsidRPr="0078352B" w:rsidRDefault="00663571" w:rsidP="0078352B">
      <w:pPr>
        <w:keepNext/>
        <w:keepLines/>
        <w:jc w:val="both"/>
        <w:rPr>
          <w:b/>
        </w:rPr>
      </w:pPr>
      <w:r>
        <w:rPr>
          <w:b/>
        </w:rPr>
        <w:t>OPTION A)</w:t>
      </w:r>
    </w:p>
    <w:p w:rsidR="00D14008" w:rsidRPr="0078352B" w:rsidRDefault="00D14008" w:rsidP="0078352B">
      <w:pPr>
        <w:keepNext/>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430"/>
        <w:gridCol w:w="2070"/>
        <w:gridCol w:w="1818"/>
      </w:tblGrid>
      <w:tr w:rsidR="00D14008" w:rsidRPr="0081095A" w:rsidTr="005C636B">
        <w:tc>
          <w:tcPr>
            <w:tcW w:w="3258" w:type="dxa"/>
            <w:shd w:val="clear" w:color="auto" w:fill="auto"/>
          </w:tcPr>
          <w:p w:rsidR="00D14008" w:rsidRPr="0081095A" w:rsidRDefault="00FD6ED8" w:rsidP="0078352B">
            <w:pPr>
              <w:pStyle w:val="Heading1"/>
              <w:keepLines/>
            </w:pPr>
            <w:r w:rsidRPr="0081095A">
              <w:t xml:space="preserve">Physical </w:t>
            </w:r>
            <w:r w:rsidR="00D14008" w:rsidRPr="0081095A">
              <w:t>Propert</w:t>
            </w:r>
            <w:r w:rsidRPr="0081095A">
              <w:t>ies</w:t>
            </w:r>
          </w:p>
        </w:tc>
        <w:tc>
          <w:tcPr>
            <w:tcW w:w="2430" w:type="dxa"/>
            <w:shd w:val="clear" w:color="auto" w:fill="auto"/>
          </w:tcPr>
          <w:p w:rsidR="00D14008" w:rsidRPr="0081095A" w:rsidRDefault="00D14008" w:rsidP="0078352B">
            <w:pPr>
              <w:keepNext/>
              <w:keepLines/>
              <w:rPr>
                <w:b/>
              </w:rPr>
            </w:pPr>
            <w:r w:rsidRPr="0081095A">
              <w:rPr>
                <w:b/>
              </w:rPr>
              <w:t>Test Method</w:t>
            </w:r>
          </w:p>
        </w:tc>
        <w:tc>
          <w:tcPr>
            <w:tcW w:w="2070" w:type="dxa"/>
            <w:shd w:val="clear" w:color="auto" w:fill="auto"/>
          </w:tcPr>
          <w:p w:rsidR="00D14008" w:rsidRPr="0081095A" w:rsidRDefault="00D14008" w:rsidP="0078352B">
            <w:pPr>
              <w:keepNext/>
              <w:keepLines/>
              <w:rPr>
                <w:b/>
              </w:rPr>
            </w:pPr>
            <w:r w:rsidRPr="0081095A">
              <w:rPr>
                <w:b/>
              </w:rPr>
              <w:t>Unit</w:t>
            </w:r>
          </w:p>
        </w:tc>
        <w:tc>
          <w:tcPr>
            <w:tcW w:w="1818" w:type="dxa"/>
            <w:shd w:val="clear" w:color="auto" w:fill="auto"/>
          </w:tcPr>
          <w:p w:rsidR="00D14008" w:rsidRPr="0081095A" w:rsidRDefault="00D14008" w:rsidP="0078352B">
            <w:pPr>
              <w:keepNext/>
              <w:keepLines/>
              <w:rPr>
                <w:b/>
              </w:rPr>
            </w:pPr>
            <w:r w:rsidRPr="0081095A">
              <w:rPr>
                <w:b/>
              </w:rPr>
              <w:t>Minimum Value</w:t>
            </w:r>
          </w:p>
        </w:tc>
      </w:tr>
      <w:tr w:rsidR="00D14008" w:rsidRPr="0081095A" w:rsidTr="00D041AF">
        <w:trPr>
          <w:trHeight w:val="458"/>
        </w:trPr>
        <w:tc>
          <w:tcPr>
            <w:tcW w:w="3258" w:type="dxa"/>
            <w:shd w:val="clear" w:color="auto" w:fill="auto"/>
          </w:tcPr>
          <w:p w:rsidR="00D14008" w:rsidRPr="0081095A" w:rsidRDefault="00D14008" w:rsidP="0078352B">
            <w:pPr>
              <w:keepNext/>
              <w:keepLines/>
              <w:rPr>
                <w:szCs w:val="24"/>
              </w:rPr>
            </w:pPr>
            <w:r w:rsidRPr="0081095A">
              <w:rPr>
                <w:szCs w:val="24"/>
              </w:rPr>
              <w:t>Mass / Unit Area</w:t>
            </w:r>
          </w:p>
        </w:tc>
        <w:tc>
          <w:tcPr>
            <w:tcW w:w="2430" w:type="dxa"/>
            <w:shd w:val="clear" w:color="auto" w:fill="auto"/>
          </w:tcPr>
          <w:p w:rsidR="00D14008" w:rsidRPr="0081095A" w:rsidRDefault="00D14008" w:rsidP="0078352B">
            <w:pPr>
              <w:keepNext/>
              <w:keepLines/>
              <w:rPr>
                <w:szCs w:val="24"/>
              </w:rPr>
            </w:pPr>
            <w:r w:rsidRPr="0081095A">
              <w:rPr>
                <w:szCs w:val="24"/>
              </w:rPr>
              <w:t>ASTM D5261</w:t>
            </w:r>
          </w:p>
        </w:tc>
        <w:tc>
          <w:tcPr>
            <w:tcW w:w="2070" w:type="dxa"/>
            <w:shd w:val="clear" w:color="auto" w:fill="auto"/>
          </w:tcPr>
          <w:p w:rsidR="00D14008" w:rsidRPr="0081095A" w:rsidRDefault="00D14008" w:rsidP="0078352B">
            <w:pPr>
              <w:keepNext/>
              <w:keepLines/>
              <w:rPr>
                <w:szCs w:val="24"/>
              </w:rPr>
            </w:pPr>
            <w:proofErr w:type="spellStart"/>
            <w:r w:rsidRPr="0081095A">
              <w:rPr>
                <w:szCs w:val="24"/>
              </w:rPr>
              <w:t>oz</w:t>
            </w:r>
            <w:proofErr w:type="spellEnd"/>
            <w:r w:rsidRPr="0081095A">
              <w:rPr>
                <w:szCs w:val="24"/>
              </w:rPr>
              <w:t>/yd</w:t>
            </w:r>
            <w:r w:rsidRPr="0081095A">
              <w:rPr>
                <w:rFonts w:ascii="Times" w:hAnsi="Times"/>
                <w:szCs w:val="24"/>
                <w:vertAlign w:val="superscript"/>
              </w:rPr>
              <w:t>2</w:t>
            </w:r>
          </w:p>
        </w:tc>
        <w:tc>
          <w:tcPr>
            <w:tcW w:w="1818" w:type="dxa"/>
            <w:shd w:val="clear" w:color="auto" w:fill="auto"/>
          </w:tcPr>
          <w:p w:rsidR="00D14008" w:rsidRPr="00F72548" w:rsidRDefault="00CE04CE" w:rsidP="0004159E">
            <w:pPr>
              <w:keepNext/>
              <w:keepLines/>
              <w:rPr>
                <w:szCs w:val="24"/>
              </w:rPr>
            </w:pPr>
            <w:r w:rsidRPr="00F72548">
              <w:rPr>
                <w:szCs w:val="24"/>
              </w:rPr>
              <w:t>1</w:t>
            </w:r>
            <w:r w:rsidR="0004159E" w:rsidRPr="00F72548">
              <w:rPr>
                <w:szCs w:val="24"/>
              </w:rPr>
              <w:t>2</w:t>
            </w:r>
            <w:r w:rsidRPr="00F72548">
              <w:rPr>
                <w:szCs w:val="24"/>
              </w:rPr>
              <w:t>.0</w:t>
            </w:r>
            <w:r w:rsidR="00D041AF" w:rsidRPr="00F72548">
              <w:rPr>
                <w:szCs w:val="24"/>
              </w:rPr>
              <w:t xml:space="preserve">  </w:t>
            </w:r>
          </w:p>
        </w:tc>
      </w:tr>
      <w:tr w:rsidR="00054BAE" w:rsidRPr="0081095A" w:rsidTr="0078352B">
        <w:tc>
          <w:tcPr>
            <w:tcW w:w="3258" w:type="dxa"/>
            <w:shd w:val="clear" w:color="auto" w:fill="auto"/>
          </w:tcPr>
          <w:p w:rsidR="00857359" w:rsidRDefault="00857359" w:rsidP="0004159E">
            <w:pPr>
              <w:pStyle w:val="BodyText"/>
              <w:keepNext/>
              <w:keepLines/>
              <w:rPr>
                <w:rFonts w:ascii="Times New Roman" w:hAnsi="Times New Roman"/>
              </w:rPr>
            </w:pPr>
            <w:r>
              <w:rPr>
                <w:rFonts w:ascii="Times New Roman" w:hAnsi="Times New Roman"/>
              </w:rPr>
              <w:t>Tensile Strength</w:t>
            </w:r>
          </w:p>
          <w:p w:rsidR="00D041AF" w:rsidRPr="0081095A" w:rsidRDefault="00857359" w:rsidP="0004159E">
            <w:pPr>
              <w:pStyle w:val="BodyText"/>
              <w:keepNext/>
              <w:keepLines/>
              <w:rPr>
                <w:rFonts w:ascii="Times New Roman" w:hAnsi="Times New Roman"/>
                <w:szCs w:val="24"/>
              </w:rPr>
            </w:pPr>
            <w:r>
              <w:rPr>
                <w:rFonts w:ascii="Times New Roman" w:hAnsi="Times New Roman"/>
              </w:rPr>
              <w:t>(</w:t>
            </w:r>
            <w:r w:rsidR="00D041AF" w:rsidRPr="0004159E">
              <w:rPr>
                <w:rFonts w:ascii="Times New Roman" w:hAnsi="Times New Roman"/>
              </w:rPr>
              <w:t>Single or multi-rib method</w:t>
            </w:r>
            <w:r>
              <w:rPr>
                <w:rFonts w:ascii="Times New Roman" w:hAnsi="Times New Roman"/>
              </w:rPr>
              <w:t>)</w:t>
            </w:r>
          </w:p>
        </w:tc>
        <w:tc>
          <w:tcPr>
            <w:tcW w:w="2430" w:type="dxa"/>
            <w:vMerge w:val="restart"/>
            <w:shd w:val="clear" w:color="auto" w:fill="auto"/>
            <w:vAlign w:val="center"/>
          </w:tcPr>
          <w:p w:rsidR="00054BAE" w:rsidRPr="0081095A" w:rsidRDefault="00054BAE" w:rsidP="00F72548">
            <w:pPr>
              <w:pStyle w:val="BodyText"/>
              <w:keepNext/>
              <w:keepLines/>
              <w:rPr>
                <w:rFonts w:ascii="Times New Roman" w:hAnsi="Times New Roman"/>
                <w:szCs w:val="24"/>
              </w:rPr>
            </w:pPr>
            <w:r w:rsidRPr="0081095A">
              <w:rPr>
                <w:rFonts w:ascii="Times New Roman" w:hAnsi="Times New Roman"/>
                <w:szCs w:val="24"/>
              </w:rPr>
              <w:t>ASTM D6637</w:t>
            </w:r>
            <w:r w:rsidR="00F72548">
              <w:rPr>
                <w:rFonts w:ascii="Times New Roman" w:hAnsi="Times New Roman"/>
                <w:szCs w:val="24"/>
              </w:rPr>
              <w:br/>
            </w:r>
            <w:r w:rsidRPr="0081095A">
              <w:rPr>
                <w:rFonts w:ascii="Times New Roman" w:hAnsi="Times New Roman"/>
                <w:szCs w:val="24"/>
              </w:rPr>
              <w:t>(Method A Modified)</w:t>
            </w:r>
          </w:p>
        </w:tc>
        <w:tc>
          <w:tcPr>
            <w:tcW w:w="2070" w:type="dxa"/>
            <w:shd w:val="clear" w:color="auto" w:fill="auto"/>
          </w:tcPr>
          <w:p w:rsidR="00054BAE" w:rsidRPr="0081095A" w:rsidRDefault="00054BAE" w:rsidP="0004159E">
            <w:pPr>
              <w:pStyle w:val="BodyText"/>
              <w:keepNext/>
              <w:keepLines/>
              <w:rPr>
                <w:rFonts w:ascii="Times New Roman" w:hAnsi="Times New Roman"/>
                <w:szCs w:val="24"/>
              </w:rPr>
            </w:pPr>
            <w:proofErr w:type="spellStart"/>
            <w:r w:rsidRPr="0081095A">
              <w:rPr>
                <w:rFonts w:ascii="Times New Roman" w:hAnsi="Times New Roman"/>
                <w:szCs w:val="24"/>
              </w:rPr>
              <w:t>lb</w:t>
            </w:r>
            <w:r w:rsidR="0004159E">
              <w:rPr>
                <w:rFonts w:ascii="Times New Roman" w:hAnsi="Times New Roman"/>
                <w:szCs w:val="24"/>
              </w:rPr>
              <w:t>s</w:t>
            </w:r>
            <w:proofErr w:type="spellEnd"/>
            <w:r w:rsidRPr="0081095A">
              <w:rPr>
                <w:rFonts w:ascii="Times New Roman" w:hAnsi="Times New Roman"/>
                <w:szCs w:val="24"/>
              </w:rPr>
              <w:t>/in</w:t>
            </w:r>
          </w:p>
        </w:tc>
        <w:tc>
          <w:tcPr>
            <w:tcW w:w="1818" w:type="dxa"/>
            <w:shd w:val="clear" w:color="auto" w:fill="auto"/>
          </w:tcPr>
          <w:p w:rsidR="00D041AF" w:rsidRPr="00D041AF" w:rsidRDefault="0004159E" w:rsidP="00F72548">
            <w:pPr>
              <w:pStyle w:val="BodyText"/>
              <w:keepNext/>
              <w:keepLines/>
              <w:rPr>
                <w:rFonts w:ascii="Times New Roman" w:hAnsi="Times New Roman"/>
                <w:b/>
                <w:szCs w:val="24"/>
              </w:rPr>
            </w:pPr>
            <w:r w:rsidRPr="0004159E">
              <w:rPr>
                <w:rFonts w:ascii="Times New Roman" w:hAnsi="Times New Roman"/>
                <w:szCs w:val="24"/>
              </w:rPr>
              <w:t>340</w:t>
            </w:r>
          </w:p>
        </w:tc>
      </w:tr>
      <w:tr w:rsidR="00054BAE" w:rsidRPr="0081095A" w:rsidTr="005C636B">
        <w:tc>
          <w:tcPr>
            <w:tcW w:w="3258" w:type="dxa"/>
            <w:shd w:val="clear" w:color="auto" w:fill="auto"/>
          </w:tcPr>
          <w:p w:rsidR="00054BAE" w:rsidRPr="0081095A" w:rsidRDefault="00054BAE" w:rsidP="0078352B">
            <w:pPr>
              <w:keepNext/>
              <w:keepLines/>
              <w:rPr>
                <w:szCs w:val="24"/>
              </w:rPr>
            </w:pPr>
            <w:r w:rsidRPr="0081095A">
              <w:rPr>
                <w:szCs w:val="24"/>
              </w:rPr>
              <w:t>Tensile Elongation</w:t>
            </w:r>
          </w:p>
        </w:tc>
        <w:tc>
          <w:tcPr>
            <w:tcW w:w="2430" w:type="dxa"/>
            <w:vMerge/>
            <w:shd w:val="clear" w:color="auto" w:fill="auto"/>
          </w:tcPr>
          <w:p w:rsidR="00054BAE" w:rsidRPr="0081095A" w:rsidRDefault="00054BAE" w:rsidP="0078352B">
            <w:pPr>
              <w:keepNext/>
              <w:keepLines/>
              <w:rPr>
                <w:szCs w:val="24"/>
              </w:rPr>
            </w:pPr>
          </w:p>
        </w:tc>
        <w:tc>
          <w:tcPr>
            <w:tcW w:w="2070" w:type="dxa"/>
            <w:shd w:val="clear" w:color="auto" w:fill="auto"/>
          </w:tcPr>
          <w:p w:rsidR="00054BAE" w:rsidRPr="0081095A" w:rsidRDefault="0081095A" w:rsidP="0078352B">
            <w:pPr>
              <w:keepNext/>
              <w:keepLines/>
              <w:rPr>
                <w:szCs w:val="24"/>
              </w:rPr>
            </w:pPr>
            <w:r w:rsidRPr="0081095A">
              <w:rPr>
                <w:szCs w:val="24"/>
              </w:rPr>
              <w:t>Percent</w:t>
            </w:r>
          </w:p>
        </w:tc>
        <w:tc>
          <w:tcPr>
            <w:tcW w:w="1818" w:type="dxa"/>
            <w:shd w:val="clear" w:color="auto" w:fill="auto"/>
          </w:tcPr>
          <w:p w:rsidR="00054BAE" w:rsidRPr="0004159E" w:rsidRDefault="00D041AF" w:rsidP="0078352B">
            <w:pPr>
              <w:keepNext/>
              <w:keepLines/>
              <w:rPr>
                <w:szCs w:val="24"/>
              </w:rPr>
            </w:pPr>
            <w:r w:rsidRPr="0004159E">
              <w:rPr>
                <w:szCs w:val="24"/>
              </w:rPr>
              <w:t>&lt;5</w:t>
            </w:r>
          </w:p>
        </w:tc>
      </w:tr>
      <w:tr w:rsidR="00D14008" w:rsidRPr="0081095A" w:rsidTr="005C636B">
        <w:tc>
          <w:tcPr>
            <w:tcW w:w="3258" w:type="dxa"/>
            <w:shd w:val="clear" w:color="auto" w:fill="auto"/>
          </w:tcPr>
          <w:p w:rsidR="00D14008" w:rsidRPr="00F72548" w:rsidRDefault="00D14008" w:rsidP="0004159E">
            <w:pPr>
              <w:pStyle w:val="BodyText"/>
              <w:keepNext/>
              <w:keepLines/>
              <w:rPr>
                <w:rFonts w:ascii="Times New Roman" w:hAnsi="Times New Roman"/>
                <w:szCs w:val="24"/>
              </w:rPr>
            </w:pPr>
            <w:r w:rsidRPr="00F72548">
              <w:rPr>
                <w:rFonts w:ascii="Times New Roman" w:hAnsi="Times New Roman"/>
                <w:szCs w:val="24"/>
              </w:rPr>
              <w:t>Melting Point</w:t>
            </w:r>
            <w:r w:rsidR="00F664BF" w:rsidRPr="00F72548">
              <w:rPr>
                <w:rFonts w:ascii="Times New Roman" w:hAnsi="Times New Roman"/>
                <w:szCs w:val="24"/>
              </w:rPr>
              <w:t xml:space="preserve"> (Glass Filaments)</w:t>
            </w:r>
          </w:p>
        </w:tc>
        <w:tc>
          <w:tcPr>
            <w:tcW w:w="2430" w:type="dxa"/>
            <w:shd w:val="clear" w:color="auto" w:fill="auto"/>
          </w:tcPr>
          <w:p w:rsidR="00D14008" w:rsidRPr="0081095A" w:rsidRDefault="00D14008" w:rsidP="0078352B">
            <w:pPr>
              <w:pStyle w:val="BodyText"/>
              <w:keepNext/>
              <w:keepLines/>
              <w:rPr>
                <w:rFonts w:ascii="Times New Roman" w:hAnsi="Times New Roman"/>
                <w:szCs w:val="24"/>
              </w:rPr>
            </w:pPr>
            <w:r w:rsidRPr="0081095A">
              <w:rPr>
                <w:rFonts w:ascii="Times New Roman" w:hAnsi="Times New Roman"/>
                <w:szCs w:val="24"/>
              </w:rPr>
              <w:t>ASTM D276</w:t>
            </w:r>
          </w:p>
        </w:tc>
        <w:tc>
          <w:tcPr>
            <w:tcW w:w="2070" w:type="dxa"/>
            <w:shd w:val="clear" w:color="auto" w:fill="auto"/>
          </w:tcPr>
          <w:p w:rsidR="00D14008" w:rsidRPr="0081095A" w:rsidRDefault="00D14008" w:rsidP="0078352B">
            <w:pPr>
              <w:pStyle w:val="BodyText"/>
              <w:keepNext/>
              <w:keepLines/>
              <w:rPr>
                <w:rFonts w:ascii="Times New Roman" w:hAnsi="Times New Roman"/>
                <w:szCs w:val="24"/>
              </w:rPr>
            </w:pPr>
            <w:r w:rsidRPr="0081095A">
              <w:rPr>
                <w:rFonts w:ascii="Times New Roman" w:hAnsi="Times New Roman"/>
                <w:szCs w:val="24"/>
              </w:rPr>
              <w:sym w:font="Symbol" w:char="F0B0"/>
            </w:r>
            <w:r w:rsidR="00054BAE" w:rsidRPr="0081095A">
              <w:rPr>
                <w:rFonts w:ascii="Times New Roman" w:hAnsi="Times New Roman"/>
                <w:szCs w:val="24"/>
              </w:rPr>
              <w:t>F</w:t>
            </w:r>
            <w:r w:rsidRPr="0081095A">
              <w:rPr>
                <w:rFonts w:ascii="Times New Roman" w:hAnsi="Times New Roman"/>
                <w:szCs w:val="24"/>
              </w:rPr>
              <w:t xml:space="preserve"> </w:t>
            </w:r>
          </w:p>
        </w:tc>
        <w:tc>
          <w:tcPr>
            <w:tcW w:w="1818" w:type="dxa"/>
            <w:shd w:val="clear" w:color="auto" w:fill="auto"/>
          </w:tcPr>
          <w:p w:rsidR="00D14008" w:rsidRPr="0081095A" w:rsidRDefault="00054BAE" w:rsidP="0078352B">
            <w:pPr>
              <w:pStyle w:val="BodyText"/>
              <w:keepNext/>
              <w:keepLines/>
              <w:rPr>
                <w:rFonts w:ascii="Times New Roman" w:hAnsi="Times New Roman"/>
                <w:szCs w:val="24"/>
              </w:rPr>
            </w:pPr>
            <w:r w:rsidRPr="0081095A">
              <w:rPr>
                <w:rFonts w:ascii="Times New Roman" w:hAnsi="Times New Roman"/>
                <w:szCs w:val="24"/>
              </w:rPr>
              <w:t>752</w:t>
            </w:r>
          </w:p>
        </w:tc>
      </w:tr>
      <w:tr w:rsidR="00D14008" w:rsidRPr="0081095A" w:rsidTr="005C636B">
        <w:tc>
          <w:tcPr>
            <w:tcW w:w="3258" w:type="dxa"/>
            <w:shd w:val="clear" w:color="auto" w:fill="auto"/>
          </w:tcPr>
          <w:p w:rsidR="00D14008" w:rsidRPr="0081095A" w:rsidRDefault="00657627" w:rsidP="0078352B">
            <w:pPr>
              <w:keepNext/>
              <w:keepLines/>
              <w:rPr>
                <w:szCs w:val="24"/>
              </w:rPr>
            </w:pPr>
            <w:r w:rsidRPr="0081095A">
              <w:rPr>
                <w:szCs w:val="24"/>
              </w:rPr>
              <w:t>Glass by Weight</w:t>
            </w:r>
          </w:p>
        </w:tc>
        <w:tc>
          <w:tcPr>
            <w:tcW w:w="2430" w:type="dxa"/>
            <w:shd w:val="clear" w:color="auto" w:fill="auto"/>
          </w:tcPr>
          <w:p w:rsidR="00D14008" w:rsidRPr="0081095A" w:rsidRDefault="00D14008" w:rsidP="0078352B">
            <w:pPr>
              <w:keepNext/>
              <w:keepLines/>
              <w:rPr>
                <w:szCs w:val="24"/>
              </w:rPr>
            </w:pPr>
          </w:p>
        </w:tc>
        <w:tc>
          <w:tcPr>
            <w:tcW w:w="2070" w:type="dxa"/>
            <w:shd w:val="clear" w:color="auto" w:fill="auto"/>
          </w:tcPr>
          <w:p w:rsidR="00D14008" w:rsidRPr="0081095A" w:rsidRDefault="00D14008" w:rsidP="0078352B">
            <w:pPr>
              <w:keepNext/>
              <w:keepLines/>
              <w:rPr>
                <w:szCs w:val="24"/>
              </w:rPr>
            </w:pPr>
            <w:r w:rsidRPr="0081095A">
              <w:rPr>
                <w:szCs w:val="24"/>
              </w:rPr>
              <w:t>Percent</w:t>
            </w:r>
          </w:p>
        </w:tc>
        <w:tc>
          <w:tcPr>
            <w:tcW w:w="1818" w:type="dxa"/>
            <w:shd w:val="clear" w:color="auto" w:fill="auto"/>
          </w:tcPr>
          <w:p w:rsidR="00D14008" w:rsidRPr="0004159E" w:rsidRDefault="00D041AF" w:rsidP="0078352B">
            <w:pPr>
              <w:keepNext/>
              <w:keepLines/>
              <w:rPr>
                <w:dstrike/>
                <w:szCs w:val="24"/>
              </w:rPr>
            </w:pPr>
            <w:r w:rsidRPr="0004159E">
              <w:rPr>
                <w:szCs w:val="24"/>
              </w:rPr>
              <w:t>&gt;60</w:t>
            </w:r>
          </w:p>
        </w:tc>
      </w:tr>
    </w:tbl>
    <w:p w:rsidR="0004159E" w:rsidRDefault="0004159E" w:rsidP="0078352B">
      <w:pPr>
        <w:keepNext/>
        <w:keepLines/>
        <w:jc w:val="both"/>
        <w:rPr>
          <w:b/>
        </w:rPr>
      </w:pPr>
    </w:p>
    <w:p w:rsidR="00CE04CE" w:rsidRPr="0078352B" w:rsidRDefault="0043500B" w:rsidP="0078352B">
      <w:pPr>
        <w:keepNext/>
        <w:keepLines/>
        <w:jc w:val="both"/>
        <w:rPr>
          <w:b/>
        </w:rPr>
      </w:pPr>
      <w:r w:rsidRPr="0081095A">
        <w:rPr>
          <w:b/>
        </w:rPr>
        <w:t>O</w:t>
      </w:r>
      <w:r w:rsidR="00663571">
        <w:rPr>
          <w:b/>
        </w:rPr>
        <w:t xml:space="preserve">PTION </w:t>
      </w:r>
      <w:r w:rsidRPr="0081095A">
        <w:rPr>
          <w:b/>
        </w:rPr>
        <w:t>B</w:t>
      </w:r>
      <w:r w:rsidR="00663571">
        <w:rPr>
          <w:b/>
        </w:rPr>
        <w:t>)</w:t>
      </w:r>
    </w:p>
    <w:p w:rsidR="00CE04CE" w:rsidRPr="0078352B" w:rsidRDefault="00CE04CE" w:rsidP="0078352B">
      <w:pPr>
        <w:keepNext/>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980"/>
        <w:gridCol w:w="2160"/>
        <w:gridCol w:w="1818"/>
      </w:tblGrid>
      <w:tr w:rsidR="00CE04CE" w:rsidRPr="0081095A" w:rsidTr="005C636B">
        <w:tc>
          <w:tcPr>
            <w:tcW w:w="3618" w:type="dxa"/>
            <w:shd w:val="clear" w:color="auto" w:fill="auto"/>
          </w:tcPr>
          <w:p w:rsidR="00CE04CE" w:rsidRPr="0081095A" w:rsidRDefault="00CE04CE" w:rsidP="0078352B">
            <w:pPr>
              <w:pStyle w:val="Heading1"/>
              <w:keepLines/>
            </w:pPr>
            <w:r w:rsidRPr="0081095A">
              <w:t>Physical Properties</w:t>
            </w:r>
          </w:p>
        </w:tc>
        <w:tc>
          <w:tcPr>
            <w:tcW w:w="1980" w:type="dxa"/>
            <w:shd w:val="clear" w:color="auto" w:fill="auto"/>
          </w:tcPr>
          <w:p w:rsidR="00CE04CE" w:rsidRPr="0081095A" w:rsidRDefault="00CE04CE" w:rsidP="0078352B">
            <w:pPr>
              <w:keepNext/>
              <w:keepLines/>
              <w:rPr>
                <w:b/>
              </w:rPr>
            </w:pPr>
            <w:r w:rsidRPr="0081095A">
              <w:rPr>
                <w:b/>
              </w:rPr>
              <w:t>Test Method</w:t>
            </w:r>
          </w:p>
        </w:tc>
        <w:tc>
          <w:tcPr>
            <w:tcW w:w="2160" w:type="dxa"/>
            <w:shd w:val="clear" w:color="auto" w:fill="auto"/>
          </w:tcPr>
          <w:p w:rsidR="00CE04CE" w:rsidRPr="0081095A" w:rsidRDefault="00CE04CE" w:rsidP="0078352B">
            <w:pPr>
              <w:keepNext/>
              <w:keepLines/>
              <w:rPr>
                <w:b/>
              </w:rPr>
            </w:pPr>
            <w:r w:rsidRPr="0081095A">
              <w:rPr>
                <w:b/>
              </w:rPr>
              <w:t>Unit</w:t>
            </w:r>
          </w:p>
        </w:tc>
        <w:tc>
          <w:tcPr>
            <w:tcW w:w="1818" w:type="dxa"/>
            <w:shd w:val="clear" w:color="auto" w:fill="auto"/>
          </w:tcPr>
          <w:p w:rsidR="00CE04CE" w:rsidRPr="0081095A" w:rsidRDefault="00CE04CE" w:rsidP="0078352B">
            <w:pPr>
              <w:keepNext/>
              <w:keepLines/>
              <w:rPr>
                <w:b/>
              </w:rPr>
            </w:pPr>
            <w:r w:rsidRPr="0081095A">
              <w:rPr>
                <w:b/>
              </w:rPr>
              <w:t>Value</w:t>
            </w:r>
          </w:p>
        </w:tc>
      </w:tr>
      <w:tr w:rsidR="00657627" w:rsidRPr="0081095A" w:rsidTr="005C636B">
        <w:tc>
          <w:tcPr>
            <w:tcW w:w="3618" w:type="dxa"/>
            <w:shd w:val="clear" w:color="auto" w:fill="auto"/>
          </w:tcPr>
          <w:p w:rsidR="00657627" w:rsidRPr="0081095A" w:rsidRDefault="00657627" w:rsidP="0078352B">
            <w:pPr>
              <w:keepNext/>
              <w:keepLines/>
              <w:rPr>
                <w:szCs w:val="24"/>
              </w:rPr>
            </w:pPr>
            <w:r w:rsidRPr="0081095A">
              <w:rPr>
                <w:szCs w:val="24"/>
              </w:rPr>
              <w:t>Mass / Unit Area</w:t>
            </w:r>
          </w:p>
        </w:tc>
        <w:tc>
          <w:tcPr>
            <w:tcW w:w="1980" w:type="dxa"/>
            <w:shd w:val="clear" w:color="auto" w:fill="auto"/>
          </w:tcPr>
          <w:p w:rsidR="00657627" w:rsidRPr="0081095A" w:rsidRDefault="00657627" w:rsidP="0078352B">
            <w:pPr>
              <w:keepNext/>
              <w:keepLines/>
              <w:rPr>
                <w:szCs w:val="24"/>
              </w:rPr>
            </w:pPr>
            <w:r w:rsidRPr="0081095A">
              <w:rPr>
                <w:szCs w:val="24"/>
              </w:rPr>
              <w:t>ASTM D5261</w:t>
            </w:r>
          </w:p>
        </w:tc>
        <w:tc>
          <w:tcPr>
            <w:tcW w:w="2160" w:type="dxa"/>
            <w:shd w:val="clear" w:color="auto" w:fill="auto"/>
          </w:tcPr>
          <w:p w:rsidR="00657627" w:rsidRPr="0081095A" w:rsidRDefault="00657627" w:rsidP="0078352B">
            <w:pPr>
              <w:keepNext/>
              <w:keepLines/>
              <w:rPr>
                <w:szCs w:val="24"/>
              </w:rPr>
            </w:pPr>
            <w:proofErr w:type="spellStart"/>
            <w:r w:rsidRPr="0081095A">
              <w:rPr>
                <w:szCs w:val="24"/>
              </w:rPr>
              <w:t>oz</w:t>
            </w:r>
            <w:proofErr w:type="spellEnd"/>
            <w:r w:rsidRPr="0081095A">
              <w:rPr>
                <w:szCs w:val="24"/>
              </w:rPr>
              <w:t>/yd</w:t>
            </w:r>
            <w:r w:rsidRPr="0081095A">
              <w:rPr>
                <w:rFonts w:ascii="Times" w:hAnsi="Times"/>
                <w:szCs w:val="24"/>
                <w:vertAlign w:val="superscript"/>
              </w:rPr>
              <w:t>2</w:t>
            </w:r>
          </w:p>
        </w:tc>
        <w:tc>
          <w:tcPr>
            <w:tcW w:w="1818" w:type="dxa"/>
            <w:shd w:val="clear" w:color="auto" w:fill="auto"/>
          </w:tcPr>
          <w:p w:rsidR="00657627" w:rsidRPr="0081095A" w:rsidRDefault="00B8394E" w:rsidP="0078352B">
            <w:pPr>
              <w:keepNext/>
              <w:keepLines/>
              <w:rPr>
                <w:szCs w:val="24"/>
              </w:rPr>
            </w:pPr>
            <w:r>
              <w:rPr>
                <w:szCs w:val="24"/>
              </w:rPr>
              <w:t>7</w:t>
            </w:r>
            <w:r w:rsidR="00657627" w:rsidRPr="0081095A">
              <w:rPr>
                <w:szCs w:val="24"/>
              </w:rPr>
              <w:t>.0</w:t>
            </w:r>
            <w:r>
              <w:rPr>
                <w:szCs w:val="24"/>
              </w:rPr>
              <w:t xml:space="preserve"> (min)</w:t>
            </w:r>
          </w:p>
        </w:tc>
      </w:tr>
      <w:tr w:rsidR="004D17AD" w:rsidRPr="0081095A" w:rsidTr="006F0683">
        <w:tc>
          <w:tcPr>
            <w:tcW w:w="3618" w:type="dxa"/>
            <w:shd w:val="clear" w:color="auto" w:fill="auto"/>
          </w:tcPr>
          <w:p w:rsidR="004D17AD" w:rsidRPr="0081095A" w:rsidRDefault="004D17AD" w:rsidP="007112BB">
            <w:pPr>
              <w:keepNext/>
              <w:keepLines/>
              <w:rPr>
                <w:szCs w:val="24"/>
              </w:rPr>
            </w:pPr>
            <w:r w:rsidRPr="0081095A">
              <w:rPr>
                <w:szCs w:val="24"/>
              </w:rPr>
              <w:t xml:space="preserve">Tensile Strength </w:t>
            </w:r>
          </w:p>
        </w:tc>
        <w:tc>
          <w:tcPr>
            <w:tcW w:w="1980" w:type="dxa"/>
            <w:vMerge w:val="restart"/>
            <w:shd w:val="clear" w:color="auto" w:fill="auto"/>
            <w:vAlign w:val="center"/>
          </w:tcPr>
          <w:p w:rsidR="004D17AD" w:rsidRPr="0081095A" w:rsidRDefault="004D17AD" w:rsidP="006F0683">
            <w:pPr>
              <w:keepNext/>
              <w:keepLines/>
              <w:rPr>
                <w:szCs w:val="24"/>
              </w:rPr>
            </w:pPr>
            <w:r w:rsidRPr="0081095A">
              <w:rPr>
                <w:szCs w:val="24"/>
              </w:rPr>
              <w:t>ASTM D</w:t>
            </w:r>
            <w:r>
              <w:rPr>
                <w:szCs w:val="24"/>
              </w:rPr>
              <w:t>5035</w:t>
            </w:r>
          </w:p>
        </w:tc>
        <w:tc>
          <w:tcPr>
            <w:tcW w:w="2160" w:type="dxa"/>
            <w:shd w:val="clear" w:color="auto" w:fill="auto"/>
          </w:tcPr>
          <w:p w:rsidR="004D17AD" w:rsidRPr="0081095A" w:rsidRDefault="004D17AD" w:rsidP="004D17AD">
            <w:pPr>
              <w:keepNext/>
              <w:keepLines/>
              <w:rPr>
                <w:szCs w:val="24"/>
              </w:rPr>
            </w:pPr>
            <w:proofErr w:type="spellStart"/>
            <w:r w:rsidRPr="0081095A">
              <w:rPr>
                <w:szCs w:val="24"/>
              </w:rPr>
              <w:t>lb</w:t>
            </w:r>
            <w:r>
              <w:rPr>
                <w:szCs w:val="24"/>
              </w:rPr>
              <w:t>s</w:t>
            </w:r>
            <w:proofErr w:type="spellEnd"/>
            <w:r w:rsidRPr="0081095A">
              <w:rPr>
                <w:szCs w:val="24"/>
              </w:rPr>
              <w:t>/</w:t>
            </w:r>
            <w:r>
              <w:rPr>
                <w:szCs w:val="24"/>
              </w:rPr>
              <w:t>in</w:t>
            </w:r>
          </w:p>
        </w:tc>
        <w:tc>
          <w:tcPr>
            <w:tcW w:w="1818" w:type="dxa"/>
            <w:shd w:val="clear" w:color="auto" w:fill="auto"/>
          </w:tcPr>
          <w:p w:rsidR="004D17AD" w:rsidRPr="0081095A" w:rsidRDefault="00433DE3" w:rsidP="00433DE3">
            <w:pPr>
              <w:keepNext/>
              <w:keepLines/>
              <w:rPr>
                <w:szCs w:val="24"/>
              </w:rPr>
            </w:pPr>
            <w:r>
              <w:rPr>
                <w:szCs w:val="24"/>
              </w:rPr>
              <w:t>275</w:t>
            </w:r>
            <w:r w:rsidR="004D17AD">
              <w:rPr>
                <w:szCs w:val="24"/>
              </w:rPr>
              <w:t xml:space="preserve"> (min)</w:t>
            </w:r>
          </w:p>
        </w:tc>
      </w:tr>
      <w:tr w:rsidR="004D17AD" w:rsidRPr="0081095A" w:rsidTr="005C636B">
        <w:tc>
          <w:tcPr>
            <w:tcW w:w="3618" w:type="dxa"/>
            <w:shd w:val="clear" w:color="auto" w:fill="auto"/>
          </w:tcPr>
          <w:p w:rsidR="004D17AD" w:rsidRPr="0081095A" w:rsidRDefault="004D17AD" w:rsidP="0078352B">
            <w:pPr>
              <w:keepNext/>
              <w:keepLines/>
              <w:rPr>
                <w:szCs w:val="24"/>
              </w:rPr>
            </w:pPr>
            <w:r w:rsidRPr="0081095A">
              <w:rPr>
                <w:szCs w:val="24"/>
              </w:rPr>
              <w:t>Tensile Elongation</w:t>
            </w:r>
          </w:p>
        </w:tc>
        <w:tc>
          <w:tcPr>
            <w:tcW w:w="1980" w:type="dxa"/>
            <w:vMerge/>
            <w:shd w:val="clear" w:color="auto" w:fill="auto"/>
          </w:tcPr>
          <w:p w:rsidR="004D17AD" w:rsidRPr="0081095A" w:rsidRDefault="004D17AD" w:rsidP="0078352B">
            <w:pPr>
              <w:keepNext/>
              <w:keepLines/>
              <w:rPr>
                <w:szCs w:val="24"/>
              </w:rPr>
            </w:pPr>
          </w:p>
        </w:tc>
        <w:tc>
          <w:tcPr>
            <w:tcW w:w="2160" w:type="dxa"/>
            <w:shd w:val="clear" w:color="auto" w:fill="auto"/>
          </w:tcPr>
          <w:p w:rsidR="004D17AD" w:rsidRPr="0081095A" w:rsidRDefault="004D17AD" w:rsidP="0078352B">
            <w:pPr>
              <w:keepNext/>
              <w:keepLines/>
              <w:rPr>
                <w:szCs w:val="24"/>
              </w:rPr>
            </w:pPr>
            <w:r w:rsidRPr="0081095A">
              <w:rPr>
                <w:szCs w:val="24"/>
              </w:rPr>
              <w:t>Percent</w:t>
            </w:r>
          </w:p>
        </w:tc>
        <w:tc>
          <w:tcPr>
            <w:tcW w:w="1818" w:type="dxa"/>
            <w:shd w:val="clear" w:color="auto" w:fill="auto"/>
          </w:tcPr>
          <w:p w:rsidR="004D17AD" w:rsidRPr="0081095A" w:rsidRDefault="004D17AD" w:rsidP="0078352B">
            <w:pPr>
              <w:keepNext/>
              <w:keepLines/>
              <w:rPr>
                <w:szCs w:val="24"/>
              </w:rPr>
            </w:pPr>
            <w:r w:rsidRPr="0081095A">
              <w:rPr>
                <w:szCs w:val="24"/>
              </w:rPr>
              <w:t>10</w:t>
            </w:r>
            <w:r>
              <w:rPr>
                <w:szCs w:val="24"/>
              </w:rPr>
              <w:t xml:space="preserve"> (max)</w:t>
            </w:r>
          </w:p>
        </w:tc>
      </w:tr>
      <w:tr w:rsidR="00087921" w:rsidRPr="0081095A" w:rsidTr="005C636B">
        <w:tc>
          <w:tcPr>
            <w:tcW w:w="3618" w:type="dxa"/>
            <w:shd w:val="clear" w:color="auto" w:fill="auto"/>
          </w:tcPr>
          <w:p w:rsidR="00087921" w:rsidRPr="0081095A" w:rsidRDefault="00087921" w:rsidP="0078352B">
            <w:pPr>
              <w:pStyle w:val="BodyText"/>
              <w:keepNext/>
              <w:keepLines/>
              <w:rPr>
                <w:rFonts w:ascii="Times New Roman" w:hAnsi="Times New Roman"/>
                <w:szCs w:val="24"/>
              </w:rPr>
            </w:pPr>
            <w:r w:rsidRPr="0081095A">
              <w:rPr>
                <w:rFonts w:ascii="Times New Roman" w:hAnsi="Times New Roman"/>
                <w:szCs w:val="24"/>
              </w:rPr>
              <w:t>Melting Point</w:t>
            </w:r>
          </w:p>
        </w:tc>
        <w:tc>
          <w:tcPr>
            <w:tcW w:w="1980" w:type="dxa"/>
            <w:shd w:val="clear" w:color="auto" w:fill="auto"/>
          </w:tcPr>
          <w:p w:rsidR="00087921" w:rsidRPr="0081095A" w:rsidRDefault="00087921" w:rsidP="0078352B">
            <w:pPr>
              <w:pStyle w:val="BodyText"/>
              <w:keepNext/>
              <w:keepLines/>
              <w:rPr>
                <w:rFonts w:ascii="Times New Roman" w:hAnsi="Times New Roman"/>
                <w:szCs w:val="24"/>
              </w:rPr>
            </w:pPr>
            <w:r w:rsidRPr="0081095A">
              <w:rPr>
                <w:rFonts w:ascii="Times New Roman" w:hAnsi="Times New Roman"/>
                <w:szCs w:val="24"/>
              </w:rPr>
              <w:t>ASTM D276</w:t>
            </w:r>
          </w:p>
        </w:tc>
        <w:tc>
          <w:tcPr>
            <w:tcW w:w="2160" w:type="dxa"/>
            <w:shd w:val="clear" w:color="auto" w:fill="auto"/>
          </w:tcPr>
          <w:p w:rsidR="00087921" w:rsidRPr="0081095A" w:rsidRDefault="00087921" w:rsidP="0078352B">
            <w:pPr>
              <w:pStyle w:val="BodyText"/>
              <w:keepNext/>
              <w:keepLines/>
              <w:rPr>
                <w:rFonts w:ascii="Times New Roman" w:hAnsi="Times New Roman"/>
                <w:szCs w:val="24"/>
              </w:rPr>
            </w:pPr>
            <w:r w:rsidRPr="0081095A">
              <w:rPr>
                <w:rFonts w:ascii="Times New Roman" w:hAnsi="Times New Roman"/>
                <w:szCs w:val="24"/>
              </w:rPr>
              <w:sym w:font="Symbol" w:char="F0B0"/>
            </w:r>
            <w:r w:rsidRPr="0081095A">
              <w:rPr>
                <w:rFonts w:ascii="Times New Roman" w:hAnsi="Times New Roman"/>
                <w:szCs w:val="24"/>
              </w:rPr>
              <w:t xml:space="preserve">F </w:t>
            </w:r>
          </w:p>
        </w:tc>
        <w:tc>
          <w:tcPr>
            <w:tcW w:w="1818" w:type="dxa"/>
            <w:shd w:val="clear" w:color="auto" w:fill="auto"/>
          </w:tcPr>
          <w:p w:rsidR="00087921" w:rsidRPr="0081095A" w:rsidRDefault="004D17AD" w:rsidP="00B8394E">
            <w:pPr>
              <w:pStyle w:val="BodyText"/>
              <w:keepNext/>
              <w:keepLines/>
              <w:rPr>
                <w:rFonts w:ascii="Times New Roman" w:hAnsi="Times New Roman"/>
                <w:szCs w:val="24"/>
              </w:rPr>
            </w:pPr>
            <w:r>
              <w:rPr>
                <w:rFonts w:ascii="Times New Roman" w:hAnsi="Times New Roman"/>
                <w:szCs w:val="24"/>
              </w:rPr>
              <w:t>&gt;</w:t>
            </w:r>
            <w:r w:rsidR="00087921" w:rsidRPr="0081095A">
              <w:rPr>
                <w:rFonts w:ascii="Times New Roman" w:hAnsi="Times New Roman"/>
                <w:szCs w:val="24"/>
              </w:rPr>
              <w:t>4</w:t>
            </w:r>
            <w:r w:rsidR="00341D0C">
              <w:rPr>
                <w:rFonts w:ascii="Times New Roman" w:hAnsi="Times New Roman"/>
                <w:szCs w:val="24"/>
              </w:rPr>
              <w:t>0</w:t>
            </w:r>
            <w:r w:rsidR="00087921" w:rsidRPr="0081095A">
              <w:rPr>
                <w:rFonts w:ascii="Times New Roman" w:hAnsi="Times New Roman"/>
                <w:szCs w:val="24"/>
              </w:rPr>
              <w:t>0</w:t>
            </w:r>
          </w:p>
        </w:tc>
      </w:tr>
    </w:tbl>
    <w:p w:rsidR="0043500B" w:rsidRPr="0081095A" w:rsidRDefault="0043500B">
      <w:pPr>
        <w:rPr>
          <w:b/>
        </w:rPr>
      </w:pPr>
    </w:p>
    <w:p w:rsidR="00EE4FAD" w:rsidRPr="0078352B" w:rsidRDefault="0002549F" w:rsidP="0078352B">
      <w:pPr>
        <w:keepNext/>
        <w:keepLines/>
        <w:jc w:val="both"/>
        <w:rPr>
          <w:b/>
        </w:rPr>
      </w:pPr>
      <w:r w:rsidRPr="0081095A">
        <w:rPr>
          <w:b/>
        </w:rPr>
        <w:t>Pre-Pave Meeting</w:t>
      </w:r>
    </w:p>
    <w:p w:rsidR="00B601F4" w:rsidRPr="0078352B" w:rsidRDefault="00B601F4" w:rsidP="0078352B">
      <w:pPr>
        <w:keepNext/>
        <w:keepLines/>
        <w:jc w:val="both"/>
        <w:rPr>
          <w:b/>
        </w:rPr>
      </w:pPr>
    </w:p>
    <w:p w:rsidR="00F23EAF" w:rsidRPr="0081095A" w:rsidRDefault="00F23EAF" w:rsidP="00F23EAF">
      <w:pPr>
        <w:pStyle w:val="Style1"/>
        <w:jc w:val="both"/>
      </w:pPr>
      <w:r w:rsidRPr="0081095A">
        <w:t xml:space="preserve">Schedule a pre-pave meeting </w:t>
      </w:r>
      <w:r w:rsidR="00350BD9" w:rsidRPr="0081095A">
        <w:t xml:space="preserve">at least 14 days prior to beginning </w:t>
      </w:r>
      <w:r w:rsidR="006B44BD" w:rsidRPr="0081095A">
        <w:t>any paving operation</w:t>
      </w:r>
      <w:r w:rsidR="004D17AD">
        <w:t xml:space="preserve"> that includes a pavement interlayer</w:t>
      </w:r>
      <w:r w:rsidR="00350BD9" w:rsidRPr="0081095A">
        <w:t>.  I</w:t>
      </w:r>
      <w:r w:rsidR="006B44BD" w:rsidRPr="0081095A">
        <w:t>nclud</w:t>
      </w:r>
      <w:r w:rsidR="00350BD9" w:rsidRPr="0081095A">
        <w:t>e</w:t>
      </w:r>
      <w:r w:rsidR="006B44BD" w:rsidRPr="0081095A">
        <w:t xml:space="preserve"> the Engineer, Roadway Inspector, Subcontractor, Fabric </w:t>
      </w:r>
      <w:r w:rsidR="006B44BD" w:rsidRPr="0081095A">
        <w:lastRenderedPageBreak/>
        <w:t xml:space="preserve">Manufacturer, Experienced Installer, Area Roadway Engineer, Materials and Tests Unit representative, </w:t>
      </w:r>
      <w:r w:rsidR="00663571">
        <w:t>Pavement Management Unit representative</w:t>
      </w:r>
      <w:r w:rsidR="006B44BD" w:rsidRPr="0081095A">
        <w:t>, and State Pavement Construction Engineer.</w:t>
      </w:r>
    </w:p>
    <w:p w:rsidR="00F23EAF" w:rsidRPr="0081095A" w:rsidRDefault="00F23EAF" w:rsidP="00F23EAF">
      <w:pPr>
        <w:pStyle w:val="Style1"/>
        <w:jc w:val="both"/>
      </w:pPr>
    </w:p>
    <w:p w:rsidR="0002549F" w:rsidRPr="0081095A" w:rsidRDefault="0081095A" w:rsidP="00F23EAF">
      <w:pPr>
        <w:pStyle w:val="Style1"/>
        <w:jc w:val="both"/>
        <w:rPr>
          <w:b/>
        </w:rPr>
      </w:pPr>
      <w:r w:rsidRPr="0081095A">
        <w:rPr>
          <w:b/>
        </w:rPr>
        <w:t xml:space="preserve">Pavement Interlayer </w:t>
      </w:r>
      <w:r w:rsidR="00EE4FAD" w:rsidRPr="0078352B">
        <w:rPr>
          <w:b/>
        </w:rPr>
        <w:t>Installation</w:t>
      </w:r>
    </w:p>
    <w:p w:rsidR="0002549F" w:rsidRPr="0081095A" w:rsidRDefault="0002549F" w:rsidP="00F23EAF">
      <w:pPr>
        <w:pStyle w:val="Style1"/>
        <w:jc w:val="both"/>
      </w:pPr>
    </w:p>
    <w:p w:rsidR="00EE4FAD" w:rsidRPr="0081095A" w:rsidRDefault="00EE4FAD" w:rsidP="00F23EAF">
      <w:pPr>
        <w:pStyle w:val="Style1"/>
        <w:jc w:val="both"/>
      </w:pPr>
      <w:r w:rsidRPr="0081095A">
        <w:t>A trained and experienced installer, certified by the manufacturer, sh</w:t>
      </w:r>
      <w:r w:rsidR="00F23EAF" w:rsidRPr="0081095A">
        <w:t>all</w:t>
      </w:r>
      <w:r w:rsidRPr="0081095A">
        <w:t xml:space="preserve"> be present on-site during the installation of the </w:t>
      </w:r>
      <w:r w:rsidR="0081095A" w:rsidRPr="001C5D2C">
        <w:t xml:space="preserve">pavement interlayer </w:t>
      </w:r>
      <w:r w:rsidRPr="0081095A">
        <w:t xml:space="preserve">until the crew has a comfort level working with </w:t>
      </w:r>
      <w:r w:rsidR="00F23EAF" w:rsidRPr="0081095A">
        <w:t xml:space="preserve">and installing </w:t>
      </w:r>
      <w:r w:rsidRPr="0081095A">
        <w:t>this material</w:t>
      </w:r>
      <w:r w:rsidRPr="0081095A">
        <w:rPr>
          <w:rFonts w:ascii="Tahoma" w:hAnsi="Tahoma"/>
        </w:rPr>
        <w:t>.</w:t>
      </w:r>
    </w:p>
    <w:p w:rsidR="00B601F4" w:rsidRPr="0081095A" w:rsidRDefault="00B601F4" w:rsidP="00F23EAF">
      <w:pPr>
        <w:pStyle w:val="BodyTextIndent"/>
        <w:ind w:left="0"/>
        <w:jc w:val="both"/>
      </w:pPr>
    </w:p>
    <w:p w:rsidR="00572D1F" w:rsidRPr="0081095A" w:rsidRDefault="0081095A" w:rsidP="00F23EAF">
      <w:pPr>
        <w:pStyle w:val="BodyTextIndent"/>
        <w:ind w:left="0"/>
        <w:jc w:val="both"/>
      </w:pPr>
      <w:r>
        <w:t>I</w:t>
      </w:r>
      <w:r w:rsidR="00572D1F" w:rsidRPr="0081095A">
        <w:t>nspect</w:t>
      </w:r>
      <w:r>
        <w:t xml:space="preserve"> the </w:t>
      </w:r>
      <w:r w:rsidRPr="0081095A">
        <w:t>pavement interlayer</w:t>
      </w:r>
      <w:r w:rsidR="00572D1F" w:rsidRPr="0081095A">
        <w:t xml:space="preserve"> upon delivery to insure proper material has been received.  </w:t>
      </w:r>
      <w:r>
        <w:t>P</w:t>
      </w:r>
      <w:r w:rsidRPr="001C5D2C">
        <w:t xml:space="preserve">avement interlayer </w:t>
      </w:r>
      <w:r w:rsidR="00572D1F" w:rsidRPr="0081095A">
        <w:t xml:space="preserve">shall be protected with protective wrapping and shall not be exposed to temperatures </w:t>
      </w:r>
      <w:r w:rsidR="0002549F" w:rsidRPr="0081095A">
        <w:t>exceeding </w:t>
      </w:r>
      <w:r w:rsidR="00572D1F" w:rsidRPr="0081095A">
        <w:t>150</w:t>
      </w:r>
      <w:r w:rsidR="0002549F" w:rsidRPr="0081095A">
        <w:t>°</w:t>
      </w:r>
      <w:r w:rsidR="00572D1F" w:rsidRPr="0081095A">
        <w:t>F.  Storage and handling shall be in accordance with ASTM D4873.</w:t>
      </w:r>
    </w:p>
    <w:p w:rsidR="00572D1F" w:rsidRDefault="00572D1F" w:rsidP="00F23EAF">
      <w:pPr>
        <w:pStyle w:val="BodyTextIndent"/>
        <w:ind w:left="0"/>
        <w:jc w:val="both"/>
      </w:pPr>
    </w:p>
    <w:p w:rsidR="006F0683" w:rsidRPr="0081095A" w:rsidRDefault="006F0683" w:rsidP="006F0683">
      <w:pPr>
        <w:pStyle w:val="BodyTextIndent"/>
        <w:ind w:left="0"/>
        <w:jc w:val="both"/>
      </w:pPr>
      <w:r>
        <w:t>Repair existing p</w:t>
      </w:r>
      <w:r w:rsidRPr="0081095A">
        <w:t xml:space="preserve">avement </w:t>
      </w:r>
      <w:r>
        <w:t xml:space="preserve">distresses such as potholes, depressions, </w:t>
      </w:r>
      <w:r w:rsidRPr="007C3E68">
        <w:t>or large cracks</w:t>
      </w:r>
      <w:r>
        <w:t xml:space="preserve"> with asphalt until flush with existing pavement surface.</w:t>
      </w:r>
    </w:p>
    <w:p w:rsidR="006F0683" w:rsidRPr="0081095A" w:rsidRDefault="006F0683" w:rsidP="00F23EAF">
      <w:pPr>
        <w:pStyle w:val="BodyTextIndent"/>
        <w:ind w:left="0"/>
        <w:jc w:val="both"/>
      </w:pPr>
    </w:p>
    <w:p w:rsidR="00663571" w:rsidRDefault="00EE4FAD" w:rsidP="00F23EAF">
      <w:pPr>
        <w:pStyle w:val="BodyTextIndent"/>
        <w:ind w:left="0"/>
        <w:jc w:val="both"/>
      </w:pPr>
      <w:r w:rsidRPr="0081095A">
        <w:t xml:space="preserve">The surface to be overlaid with the </w:t>
      </w:r>
      <w:r w:rsidR="0081095A" w:rsidRPr="001C5D2C">
        <w:t xml:space="preserve">pavement interlayer </w:t>
      </w:r>
      <w:r w:rsidRPr="0081095A">
        <w:t xml:space="preserve">shall be cleaned, dry and free of all dirt and debris. </w:t>
      </w:r>
      <w:r w:rsidR="00350BD9" w:rsidRPr="0081095A">
        <w:t xml:space="preserve"> </w:t>
      </w:r>
      <w:r w:rsidR="0081095A" w:rsidRPr="0081095A">
        <w:t>At</w:t>
      </w:r>
      <w:r w:rsidR="0081095A">
        <w:t> </w:t>
      </w:r>
      <w:r w:rsidRPr="0081095A">
        <w:t xml:space="preserve">the direction of the Engineer, perform leveling or wedging of asphalt to reduce any irregular surface conditions. </w:t>
      </w:r>
      <w:r w:rsidR="0002549F" w:rsidRPr="0081095A">
        <w:t xml:space="preserve"> </w:t>
      </w:r>
    </w:p>
    <w:p w:rsidR="00EE4FAD" w:rsidRPr="0081095A" w:rsidRDefault="00EE4FAD" w:rsidP="00F23EAF">
      <w:pPr>
        <w:jc w:val="both"/>
      </w:pPr>
    </w:p>
    <w:p w:rsidR="00EF08A4" w:rsidRPr="0081095A" w:rsidRDefault="00EE4FAD" w:rsidP="0078352B">
      <w:pPr>
        <w:keepNext/>
        <w:keepLines/>
        <w:jc w:val="both"/>
        <w:rPr>
          <w:b/>
        </w:rPr>
      </w:pPr>
      <w:r w:rsidRPr="0078352B">
        <w:rPr>
          <w:b/>
        </w:rPr>
        <w:t>Tack Coat Application</w:t>
      </w:r>
    </w:p>
    <w:p w:rsidR="00EE4FAD" w:rsidRPr="0078352B" w:rsidRDefault="00EE4FAD" w:rsidP="0078352B">
      <w:pPr>
        <w:keepNext/>
        <w:keepLines/>
        <w:jc w:val="both"/>
        <w:rPr>
          <w:b/>
        </w:rPr>
      </w:pPr>
    </w:p>
    <w:p w:rsidR="00EE4FAD" w:rsidRPr="0081095A" w:rsidRDefault="00EE4FAD" w:rsidP="00F23EAF">
      <w:pPr>
        <w:pStyle w:val="Style1"/>
        <w:jc w:val="both"/>
      </w:pPr>
      <w:r w:rsidRPr="0081095A">
        <w:t xml:space="preserve">Apply tack coat in accordance with Section 605 </w:t>
      </w:r>
      <w:r w:rsidR="0002549F" w:rsidRPr="0078352B">
        <w:t xml:space="preserve">of the </w:t>
      </w:r>
      <w:r w:rsidR="0002549F" w:rsidRPr="0078352B">
        <w:rPr>
          <w:i/>
        </w:rPr>
        <w:t>201</w:t>
      </w:r>
      <w:r w:rsidR="00E35EDF">
        <w:rPr>
          <w:i/>
        </w:rPr>
        <w:t>8</w:t>
      </w:r>
      <w:bookmarkStart w:id="0" w:name="_GoBack"/>
      <w:bookmarkEnd w:id="0"/>
      <w:r w:rsidR="0002549F" w:rsidRPr="0078352B">
        <w:t xml:space="preserve"> </w:t>
      </w:r>
      <w:r w:rsidR="0002549F" w:rsidRPr="0078352B">
        <w:rPr>
          <w:i/>
        </w:rPr>
        <w:t>Standard Specifications</w:t>
      </w:r>
      <w:r w:rsidR="0002549F" w:rsidRPr="0081095A">
        <w:t xml:space="preserve"> </w:t>
      </w:r>
      <w:r w:rsidRPr="0081095A">
        <w:t>and the following:</w:t>
      </w:r>
    </w:p>
    <w:p w:rsidR="00EF08A4" w:rsidRPr="0081095A" w:rsidRDefault="00EF08A4" w:rsidP="00F23EAF">
      <w:pPr>
        <w:pStyle w:val="Style1"/>
        <w:jc w:val="both"/>
      </w:pPr>
    </w:p>
    <w:p w:rsidR="00EE4FAD" w:rsidRPr="0081095A" w:rsidRDefault="0043500B" w:rsidP="0078352B">
      <w:pPr>
        <w:pStyle w:val="Style1"/>
        <w:ind w:left="720" w:hanging="720"/>
        <w:jc w:val="both"/>
      </w:pPr>
      <w:r w:rsidRPr="0081095A">
        <w:t>(A)</w:t>
      </w:r>
      <w:r w:rsidRPr="0081095A">
        <w:tab/>
      </w:r>
      <w:r w:rsidR="00EE4FAD" w:rsidRPr="0081095A">
        <w:t>Use Asphalt Binder, Grade PG 64-22 tack coat material</w:t>
      </w:r>
      <w:r w:rsidR="0028320C">
        <w:t xml:space="preserve"> and apply at temperature no greater than 350ºF</w:t>
      </w:r>
      <w:r w:rsidR="00EE4FAD" w:rsidRPr="0081095A">
        <w:t>.</w:t>
      </w:r>
    </w:p>
    <w:p w:rsidR="00EF08A4" w:rsidRPr="0081095A" w:rsidRDefault="00EF08A4" w:rsidP="0078352B">
      <w:pPr>
        <w:pStyle w:val="Style1"/>
        <w:ind w:left="720" w:hanging="720"/>
        <w:jc w:val="both"/>
      </w:pPr>
    </w:p>
    <w:p w:rsidR="00EF08A4" w:rsidRDefault="0043500B" w:rsidP="0078352B">
      <w:pPr>
        <w:pStyle w:val="Style1"/>
        <w:ind w:left="720" w:hanging="720"/>
        <w:jc w:val="both"/>
      </w:pPr>
      <w:r w:rsidRPr="0081095A">
        <w:t xml:space="preserve">(B) </w:t>
      </w:r>
      <w:r w:rsidRPr="0081095A">
        <w:tab/>
      </w:r>
      <w:r w:rsidR="00EE4FAD" w:rsidRPr="0081095A">
        <w:t>Uniformly ap</w:t>
      </w:r>
      <w:r w:rsidR="00CE5F9C" w:rsidRPr="0081095A">
        <w:t>ply the tack coat material at a</w:t>
      </w:r>
      <w:r w:rsidR="00191191" w:rsidRPr="0081095A">
        <w:t xml:space="preserve"> </w:t>
      </w:r>
      <w:r w:rsidR="0028320C">
        <w:t xml:space="preserve">minimum </w:t>
      </w:r>
      <w:r w:rsidR="00191191" w:rsidRPr="0081095A">
        <w:t>rate of</w:t>
      </w:r>
      <w:r w:rsidR="00EE4FAD" w:rsidRPr="0081095A">
        <w:t xml:space="preserve"> </w:t>
      </w:r>
      <w:r w:rsidR="00191191" w:rsidRPr="0081095A">
        <w:t xml:space="preserve">application </w:t>
      </w:r>
      <w:r w:rsidR="00EE4FAD" w:rsidRPr="0081095A">
        <w:t>0.</w:t>
      </w:r>
      <w:r w:rsidR="0028320C">
        <w:t>1</w:t>
      </w:r>
      <w:r w:rsidR="00EE4FAD" w:rsidRPr="0081095A">
        <w:t>0 gal</w:t>
      </w:r>
      <w:r w:rsidR="00CE5F9C" w:rsidRPr="0081095A">
        <w:t>/</w:t>
      </w:r>
      <w:proofErr w:type="spellStart"/>
      <w:r w:rsidR="00CE5F9C" w:rsidRPr="0081095A">
        <w:t>sy</w:t>
      </w:r>
      <w:proofErr w:type="spellEnd"/>
      <w:r w:rsidR="0004159E">
        <w:t xml:space="preserve"> or</w:t>
      </w:r>
      <w:r w:rsidR="0028320C" w:rsidRPr="0028320C">
        <w:t xml:space="preserve"> </w:t>
      </w:r>
      <w:r w:rsidR="0028320C">
        <w:t>per manufacturer’s recommendations, whichever is higher</w:t>
      </w:r>
      <w:r w:rsidR="00EE4FAD" w:rsidRPr="0081095A">
        <w:t xml:space="preserve">.  </w:t>
      </w:r>
      <w:r w:rsidR="00EF08A4" w:rsidRPr="0081095A">
        <w:t>The </w:t>
      </w:r>
      <w:r w:rsidR="00EE4FAD" w:rsidRPr="0081095A">
        <w:t xml:space="preserve">application rate may be increased </w:t>
      </w:r>
      <w:r w:rsidR="0028320C">
        <w:t>per manufacturer’s recommendations,</w:t>
      </w:r>
      <w:r w:rsidR="0028320C" w:rsidRPr="0081095A">
        <w:t xml:space="preserve"> </w:t>
      </w:r>
      <w:r w:rsidR="00EE4FAD" w:rsidRPr="0081095A">
        <w:t xml:space="preserve">for </w:t>
      </w:r>
      <w:r w:rsidR="00663571">
        <w:t>milled surfaces</w:t>
      </w:r>
      <w:r w:rsidR="0028320C">
        <w:t>,</w:t>
      </w:r>
      <w:r w:rsidR="00663571">
        <w:t xml:space="preserve"> or </w:t>
      </w:r>
      <w:r w:rsidR="0028320C">
        <w:t xml:space="preserve">for </w:t>
      </w:r>
      <w:r w:rsidR="00EE4FAD" w:rsidRPr="0081095A">
        <w:t>heavily a</w:t>
      </w:r>
      <w:r w:rsidR="0028320C">
        <w:t>ged or deteriorated pavements.</w:t>
      </w:r>
    </w:p>
    <w:p w:rsidR="0004159E" w:rsidRPr="0081095A" w:rsidRDefault="0004159E" w:rsidP="0078352B">
      <w:pPr>
        <w:pStyle w:val="Style1"/>
        <w:ind w:left="720" w:hanging="720"/>
        <w:jc w:val="both"/>
      </w:pPr>
    </w:p>
    <w:p w:rsidR="00EE4FAD" w:rsidRPr="0081095A" w:rsidRDefault="0043500B" w:rsidP="0078352B">
      <w:pPr>
        <w:pStyle w:val="Style1"/>
        <w:ind w:left="720" w:hanging="720"/>
        <w:jc w:val="both"/>
      </w:pPr>
      <w:r w:rsidRPr="0081095A">
        <w:t>(C)</w:t>
      </w:r>
      <w:r w:rsidRPr="0081095A">
        <w:tab/>
      </w:r>
      <w:r w:rsidR="00EE4FAD" w:rsidRPr="0081095A">
        <w:t>The use of emulsions, cutbacks, or materials containing solvents shall not be permitted for use as tack coat.</w:t>
      </w:r>
    </w:p>
    <w:p w:rsidR="00EE4FAD" w:rsidRPr="0081095A" w:rsidRDefault="00EE4FAD" w:rsidP="0078352B">
      <w:pPr>
        <w:pStyle w:val="Style1"/>
        <w:jc w:val="both"/>
      </w:pPr>
    </w:p>
    <w:p w:rsidR="00EE4FAD" w:rsidRPr="0081095A" w:rsidRDefault="00EE4FAD" w:rsidP="00F23EAF">
      <w:pPr>
        <w:pStyle w:val="Style1"/>
        <w:jc w:val="both"/>
      </w:pPr>
      <w:r w:rsidRPr="0081095A">
        <w:t>The tack coat application temperatures shall be sufficie</w:t>
      </w:r>
      <w:r w:rsidR="00B601F4" w:rsidRPr="0081095A">
        <w:t xml:space="preserve">ntly hot so as to ensure proper </w:t>
      </w:r>
      <w:r w:rsidRPr="0081095A">
        <w:t xml:space="preserve">coverage and proper adhesion of the </w:t>
      </w:r>
      <w:r w:rsidR="0081095A" w:rsidRPr="001C5D2C">
        <w:t xml:space="preserve">pavement interlayer </w:t>
      </w:r>
      <w:r w:rsidRPr="0081095A">
        <w:t xml:space="preserve">to the pavement surface. </w:t>
      </w:r>
      <w:r w:rsidR="00EF08A4" w:rsidRPr="0081095A">
        <w:t xml:space="preserve"> </w:t>
      </w:r>
      <w:r w:rsidRPr="0081095A">
        <w:t>The use of hand sprayers, squeegee or brush-applied tack coat may be used in locations where the distributor truck cannot reach.  Every effort shall be made to minimize the application of tack coat by hand-applied means.</w:t>
      </w:r>
    </w:p>
    <w:p w:rsidR="00EE4FAD" w:rsidRPr="0081095A" w:rsidRDefault="00EE4FAD" w:rsidP="0078352B">
      <w:pPr>
        <w:pStyle w:val="Style1"/>
        <w:jc w:val="both"/>
      </w:pPr>
    </w:p>
    <w:p w:rsidR="00EE4FAD" w:rsidRPr="0081095A" w:rsidRDefault="00EE4FAD" w:rsidP="00F23EAF">
      <w:pPr>
        <w:pStyle w:val="Style1"/>
        <w:jc w:val="both"/>
      </w:pPr>
      <w:r w:rsidRPr="0081095A">
        <w:t xml:space="preserve">The application width of tack coat shall be sufficiently wide to cover the entire width of the </w:t>
      </w:r>
      <w:r w:rsidR="0081095A" w:rsidRPr="001C5D2C">
        <w:t>pavement interlayer</w:t>
      </w:r>
      <w:r w:rsidRPr="0081095A">
        <w:t xml:space="preserve">, plus any additional width required for overlapping joints. </w:t>
      </w:r>
      <w:r w:rsidR="00EF08A4" w:rsidRPr="0081095A">
        <w:t xml:space="preserve"> </w:t>
      </w:r>
      <w:r w:rsidRPr="0081095A">
        <w:t xml:space="preserve">The tack coat shall be applied only as far in advance of the </w:t>
      </w:r>
      <w:r w:rsidR="0081095A" w:rsidRPr="001C5D2C">
        <w:t xml:space="preserve">pavement interlayer </w:t>
      </w:r>
      <w:r w:rsidRPr="0081095A">
        <w:t xml:space="preserve">installation to ensure a tacky </w:t>
      </w:r>
      <w:r w:rsidRPr="0081095A">
        <w:lastRenderedPageBreak/>
        <w:t xml:space="preserve">surface at the time of the mat installation. </w:t>
      </w:r>
      <w:r w:rsidR="00EF08A4" w:rsidRPr="0081095A">
        <w:t xml:space="preserve"> </w:t>
      </w:r>
      <w:r w:rsidRPr="0081095A">
        <w:t>Traffic shall not be permitted to drive on the tack coat at any time.</w:t>
      </w:r>
    </w:p>
    <w:p w:rsidR="00EE4FAD" w:rsidRPr="0081095A" w:rsidRDefault="00EE4FAD" w:rsidP="0078352B">
      <w:pPr>
        <w:pStyle w:val="Style1"/>
        <w:jc w:val="both"/>
      </w:pPr>
    </w:p>
    <w:p w:rsidR="00EE4FAD" w:rsidRPr="0081095A" w:rsidRDefault="00EE4FAD" w:rsidP="00F23EAF">
      <w:pPr>
        <w:pStyle w:val="Style1"/>
        <w:jc w:val="both"/>
      </w:pPr>
      <w:r w:rsidRPr="0081095A">
        <w:t xml:space="preserve">Clean any excess tack coat from the pavement. </w:t>
      </w:r>
      <w:r w:rsidR="00EF08A4" w:rsidRPr="0081095A">
        <w:t xml:space="preserve"> </w:t>
      </w:r>
      <w:r w:rsidRPr="0081095A">
        <w:t xml:space="preserve">In the event that installation operations must be curtailed, prevent vehicular traffic from driving on the affected area where the tack coat and </w:t>
      </w:r>
      <w:r w:rsidR="0081095A" w:rsidRPr="001C5D2C">
        <w:t xml:space="preserve">pavement interlayer </w:t>
      </w:r>
      <w:r w:rsidRPr="0081095A">
        <w:t>have been installed.</w:t>
      </w:r>
    </w:p>
    <w:p w:rsidR="00EE4FAD" w:rsidRPr="0081095A" w:rsidRDefault="00EE4FAD" w:rsidP="0078352B">
      <w:pPr>
        <w:pStyle w:val="Style1"/>
        <w:jc w:val="both"/>
      </w:pPr>
    </w:p>
    <w:p w:rsidR="00EE4FAD" w:rsidRPr="0081095A" w:rsidRDefault="00EE4FAD" w:rsidP="00F23EAF">
      <w:pPr>
        <w:jc w:val="both"/>
      </w:pPr>
      <w:r w:rsidRPr="0081095A">
        <w:t xml:space="preserve">Install the </w:t>
      </w:r>
      <w:r w:rsidR="0081095A" w:rsidRPr="001C5D2C">
        <w:t xml:space="preserve">pavement interlayer </w:t>
      </w:r>
      <w:r w:rsidRPr="0081095A">
        <w:t>over the hot asphalt tack coat</w:t>
      </w:r>
      <w:r w:rsidR="00663571">
        <w:t xml:space="preserve"> in accordance with manufacturer’s installation guidelines</w:t>
      </w:r>
      <w:r w:rsidRPr="0081095A">
        <w:t xml:space="preserve">. </w:t>
      </w:r>
      <w:r w:rsidR="00EF08A4" w:rsidRPr="0081095A">
        <w:t xml:space="preserve"> </w:t>
      </w:r>
      <w:r w:rsidRPr="0081095A">
        <w:t xml:space="preserve">Use mechanically powered installation equipment to install the </w:t>
      </w:r>
      <w:r w:rsidR="0081095A" w:rsidRPr="001C5D2C">
        <w:t xml:space="preserve">pavement interlayer </w:t>
      </w:r>
      <w:r w:rsidRPr="0081095A">
        <w:t xml:space="preserve">to the surface. </w:t>
      </w:r>
      <w:r w:rsidR="00EF08A4" w:rsidRPr="0081095A">
        <w:t xml:space="preserve"> </w:t>
      </w:r>
      <w:r w:rsidRPr="0081095A">
        <w:t>The mechanical equipment shall be capable of installing full width rolls of up to 12.5 feet in width.</w:t>
      </w:r>
      <w:r w:rsidR="00EF08A4" w:rsidRPr="0081095A">
        <w:t xml:space="preserve"> </w:t>
      </w:r>
      <w:r w:rsidRPr="0081095A">
        <w:t xml:space="preserve"> Where mechanical installation methods cannot be accomplished due to situations that require specially cut sections, install the </w:t>
      </w:r>
      <w:r w:rsidR="0081095A" w:rsidRPr="001C5D2C">
        <w:t xml:space="preserve">pavement interlayer </w:t>
      </w:r>
      <w:r w:rsidRPr="0081095A">
        <w:t xml:space="preserve">by hand. </w:t>
      </w:r>
      <w:r w:rsidR="00EF08A4" w:rsidRPr="0081095A">
        <w:t xml:space="preserve"> </w:t>
      </w:r>
      <w:r w:rsidRPr="0081095A">
        <w:t xml:space="preserve">Use brooms or squeegees to remove any air bubbles and ensure the </w:t>
      </w:r>
      <w:r w:rsidR="0081095A" w:rsidRPr="001C5D2C">
        <w:t xml:space="preserve">pavement interlayer </w:t>
      </w:r>
      <w:r w:rsidRPr="0081095A">
        <w:t>is completely in contact with the tack-coated surface.</w:t>
      </w:r>
      <w:r w:rsidR="00EF08A4" w:rsidRPr="0081095A">
        <w:t xml:space="preserve"> </w:t>
      </w:r>
      <w:r w:rsidRPr="0081095A">
        <w:t xml:space="preserve"> Folds or wrinkles that are encountered during lay down operations shall be cut or smoothed and additional tack material shall be applied as needed to achieve a complete bond to the surface.</w:t>
      </w:r>
    </w:p>
    <w:p w:rsidR="00EE4FAD" w:rsidRPr="0081095A" w:rsidRDefault="00EE4FAD" w:rsidP="0078352B">
      <w:pPr>
        <w:jc w:val="both"/>
      </w:pPr>
    </w:p>
    <w:p w:rsidR="00EE4FAD" w:rsidRPr="0081095A" w:rsidRDefault="00EE4FAD" w:rsidP="00F23EAF">
      <w:pPr>
        <w:pStyle w:val="Style1"/>
        <w:jc w:val="both"/>
      </w:pPr>
      <w:r w:rsidRPr="0081095A">
        <w:t xml:space="preserve">Overlap longitudinal joints a minimum of </w:t>
      </w:r>
      <w:r w:rsidR="00572D1F" w:rsidRPr="0081095A">
        <w:t>2</w:t>
      </w:r>
      <w:r w:rsidRPr="0081095A">
        <w:t xml:space="preserve"> inches and transverse joints a minimum of </w:t>
      </w:r>
      <w:r w:rsidR="00663571">
        <w:t>4</w:t>
      </w:r>
      <w:r w:rsidRPr="0081095A">
        <w:t xml:space="preserve"> inches to bond seams</w:t>
      </w:r>
      <w:r w:rsidR="006B44BD" w:rsidRPr="0081095A">
        <w:t xml:space="preserve"> unless otherwise directed by the Engineer</w:t>
      </w:r>
      <w:r w:rsidRPr="0081095A">
        <w:t xml:space="preserve">. </w:t>
      </w:r>
      <w:r w:rsidR="00EF08A4" w:rsidRPr="0081095A">
        <w:t xml:space="preserve"> </w:t>
      </w:r>
      <w:r w:rsidRPr="0081095A">
        <w:t xml:space="preserve">Overlaps on the transverse roll ends shall be in the direction of the paving operation. </w:t>
      </w:r>
      <w:r w:rsidR="00EF08A4" w:rsidRPr="0081095A">
        <w:t xml:space="preserve"> </w:t>
      </w:r>
      <w:r w:rsidRPr="0081095A">
        <w:t xml:space="preserve">All overlapping of </w:t>
      </w:r>
      <w:r w:rsidR="0081095A" w:rsidRPr="001C5D2C">
        <w:t xml:space="preserve">pavement interlayer </w:t>
      </w:r>
      <w:r w:rsidRPr="0081095A">
        <w:t>shall be tack coated to ensure proper adhesion.</w:t>
      </w:r>
    </w:p>
    <w:p w:rsidR="00EE4FAD" w:rsidRPr="0081095A" w:rsidRDefault="00EE4FAD" w:rsidP="0078352B">
      <w:pPr>
        <w:tabs>
          <w:tab w:val="left" w:pos="8613"/>
        </w:tabs>
        <w:jc w:val="both"/>
      </w:pPr>
    </w:p>
    <w:p w:rsidR="00EE4FAD" w:rsidRPr="0081095A" w:rsidRDefault="00EE4FAD" w:rsidP="00F23EAF">
      <w:pPr>
        <w:jc w:val="both"/>
      </w:pPr>
      <w:r w:rsidRPr="0081095A">
        <w:t xml:space="preserve">Blotting the sealant, spreading sand or broadcasting hot mix asphalt over the </w:t>
      </w:r>
      <w:r w:rsidR="0081095A" w:rsidRPr="001C5D2C">
        <w:t xml:space="preserve">pavement interlayer </w:t>
      </w:r>
      <w:r w:rsidRPr="0081095A">
        <w:t xml:space="preserve">shall be </w:t>
      </w:r>
      <w:r w:rsidR="0002549F" w:rsidRPr="0081095A">
        <w:t xml:space="preserve">used </w:t>
      </w:r>
      <w:r w:rsidRPr="0081095A">
        <w:t xml:space="preserve">to minimize and prevent construction and or paving tires/tracks from adhering to the tack coat and pulling up the </w:t>
      </w:r>
      <w:r w:rsidR="0081095A" w:rsidRPr="001C5D2C">
        <w:t>pavement interlayer</w:t>
      </w:r>
      <w:r w:rsidRPr="0081095A">
        <w:t xml:space="preserve">. </w:t>
      </w:r>
      <w:r w:rsidR="00EF08A4" w:rsidRPr="0081095A">
        <w:t xml:space="preserve"> </w:t>
      </w:r>
      <w:r w:rsidRPr="0081095A">
        <w:t xml:space="preserve">In the event that the </w:t>
      </w:r>
      <w:r w:rsidR="0081095A" w:rsidRPr="001C5D2C">
        <w:t xml:space="preserve">pavement interlayer </w:t>
      </w:r>
      <w:r w:rsidR="0002549F" w:rsidRPr="0081095A">
        <w:t>is</w:t>
      </w:r>
      <w:r w:rsidRPr="0081095A">
        <w:t xml:space="preserve"> displaced from the </w:t>
      </w:r>
      <w:r w:rsidR="009B59DE" w:rsidRPr="0081095A">
        <w:t xml:space="preserve">surface, additional rolling </w:t>
      </w:r>
      <w:r w:rsidR="00350BD9" w:rsidRPr="0081095A">
        <w:t>and</w:t>
      </w:r>
      <w:r w:rsidRPr="0081095A">
        <w:t xml:space="preserve"> hand-brushing </w:t>
      </w:r>
      <w:r w:rsidR="0002549F" w:rsidRPr="0081095A">
        <w:t xml:space="preserve">shall </w:t>
      </w:r>
      <w:r w:rsidRPr="0081095A">
        <w:t xml:space="preserve">be required to restore the bond between the surface and </w:t>
      </w:r>
      <w:r w:rsidR="0081095A" w:rsidRPr="001C5D2C">
        <w:t>pavement interlayer</w:t>
      </w:r>
      <w:r w:rsidR="00EF08A4" w:rsidRPr="0081095A">
        <w:t xml:space="preserve">.  </w:t>
      </w:r>
      <w:r w:rsidRPr="0081095A">
        <w:t>An additional application of tack may be required to ensure adhesion.</w:t>
      </w:r>
    </w:p>
    <w:p w:rsidR="00EE4FAD" w:rsidRPr="0081095A" w:rsidRDefault="00EE4FAD"/>
    <w:p w:rsidR="00EE4FAD" w:rsidRPr="0081095A" w:rsidRDefault="0043500B" w:rsidP="0078352B">
      <w:pPr>
        <w:keepNext/>
        <w:keepLines/>
        <w:jc w:val="both"/>
        <w:rPr>
          <w:b/>
        </w:rPr>
      </w:pPr>
      <w:r w:rsidRPr="0081095A">
        <w:rPr>
          <w:b/>
        </w:rPr>
        <w:t>Measurement and Payment</w:t>
      </w:r>
    </w:p>
    <w:p w:rsidR="00F23EAF" w:rsidRPr="0078352B" w:rsidRDefault="00F23EAF" w:rsidP="0078352B">
      <w:pPr>
        <w:keepNext/>
        <w:keepLines/>
        <w:jc w:val="both"/>
        <w:rPr>
          <w:b/>
        </w:rPr>
      </w:pPr>
    </w:p>
    <w:p w:rsidR="00EE4FAD" w:rsidRPr="0081095A" w:rsidRDefault="006B44BD" w:rsidP="00F23EAF">
      <w:pPr>
        <w:pStyle w:val="Style1"/>
        <w:jc w:val="both"/>
      </w:pPr>
      <w:r w:rsidRPr="0081095A">
        <w:rPr>
          <w:i/>
        </w:rPr>
        <w:t>Pavement Interlayer</w:t>
      </w:r>
      <w:r w:rsidR="00EE4FAD" w:rsidRPr="0081095A">
        <w:t xml:space="preserve"> will be measured and paid at the contract unit price per square yard.  </w:t>
      </w:r>
      <w:r w:rsidR="00EF08A4" w:rsidRPr="0081095A">
        <w:t>In </w:t>
      </w:r>
      <w:r w:rsidR="00EE4FAD" w:rsidRPr="0081095A">
        <w:t xml:space="preserve">measuring this quantity, the length will be the actual length constructed, measured along the surface.  The width will be the width measured along the ground that has been acceptably placed.  No separate measurement will be made for overlapping </w:t>
      </w:r>
      <w:r w:rsidR="0081095A" w:rsidRPr="001C5D2C">
        <w:t xml:space="preserve">pavement interlayer </w:t>
      </w:r>
      <w:r w:rsidR="0002549F" w:rsidRPr="0081095A">
        <w:t xml:space="preserve">or any additional tack coat or labor </w:t>
      </w:r>
      <w:r w:rsidR="00350BD9" w:rsidRPr="0081095A">
        <w:t>required for a satisfactory</w:t>
      </w:r>
      <w:r w:rsidR="0002549F" w:rsidRPr="0081095A">
        <w:t xml:space="preserve"> bond between the surface and </w:t>
      </w:r>
      <w:r w:rsidR="0081095A" w:rsidRPr="001C5D2C">
        <w:t>pavement interlayer</w:t>
      </w:r>
      <w:r w:rsidR="0002549F" w:rsidRPr="0081095A">
        <w:t>.</w:t>
      </w:r>
    </w:p>
    <w:p w:rsidR="00EE4FAD" w:rsidRPr="0081095A" w:rsidRDefault="00EE4FAD" w:rsidP="0078352B">
      <w:pPr>
        <w:pStyle w:val="Style1"/>
        <w:jc w:val="both"/>
      </w:pPr>
    </w:p>
    <w:p w:rsidR="00EE4FAD" w:rsidRPr="0081095A" w:rsidRDefault="00333B3D" w:rsidP="00F23EAF">
      <w:pPr>
        <w:pStyle w:val="Style1"/>
        <w:jc w:val="both"/>
      </w:pPr>
      <w:r w:rsidRPr="0081095A">
        <w:t>Such</w:t>
      </w:r>
      <w:r w:rsidR="00EE4FAD" w:rsidRPr="0081095A">
        <w:t xml:space="preserve"> prices shall include</w:t>
      </w:r>
      <w:r w:rsidR="00EF08A4" w:rsidRPr="0081095A">
        <w:t>,</w:t>
      </w:r>
      <w:r w:rsidR="00EE4FAD" w:rsidRPr="0081095A">
        <w:t xml:space="preserve"> but not be limited to</w:t>
      </w:r>
      <w:r w:rsidR="00EF08A4" w:rsidRPr="0081095A">
        <w:t>,</w:t>
      </w:r>
      <w:r w:rsidR="00EE4FAD" w:rsidRPr="0081095A">
        <w:t xml:space="preserve"> furnishing all labor, materials including asphalt </w:t>
      </w:r>
      <w:r w:rsidR="00280965">
        <w:t xml:space="preserve">and </w:t>
      </w:r>
      <w:r w:rsidR="00EE4FAD" w:rsidRPr="0081095A">
        <w:t>tack coat, tools, equipment and other incidentals necessa</w:t>
      </w:r>
      <w:r w:rsidR="006B44BD" w:rsidRPr="0081095A">
        <w:t>ry to perform the required work.</w:t>
      </w:r>
    </w:p>
    <w:p w:rsidR="006B44BD" w:rsidRPr="0081095A" w:rsidRDefault="006B44BD" w:rsidP="006B44BD">
      <w:pPr>
        <w:pStyle w:val="Style1"/>
      </w:pPr>
    </w:p>
    <w:p w:rsidR="00EF08A4" w:rsidRPr="0081095A" w:rsidRDefault="00EF08A4">
      <w:pPr>
        <w:keepNext/>
        <w:keepLines/>
        <w:widowControl w:val="0"/>
        <w:jc w:val="both"/>
        <w:rPr>
          <w:szCs w:val="24"/>
        </w:rPr>
      </w:pPr>
      <w:r w:rsidRPr="0081095A">
        <w:rPr>
          <w:szCs w:val="24"/>
        </w:rPr>
        <w:t>Payment will be made under:</w:t>
      </w:r>
    </w:p>
    <w:p w:rsidR="00EF08A4" w:rsidRPr="0081095A" w:rsidRDefault="00EF08A4">
      <w:pPr>
        <w:keepNext/>
        <w:keepLines/>
        <w:widowControl w:val="0"/>
        <w:jc w:val="both"/>
        <w:rPr>
          <w:szCs w:val="24"/>
        </w:rPr>
      </w:pPr>
    </w:p>
    <w:tbl>
      <w:tblPr>
        <w:tblW w:w="0" w:type="auto"/>
        <w:tblInd w:w="18" w:type="dxa"/>
        <w:tblLayout w:type="fixed"/>
        <w:tblLook w:val="04A0" w:firstRow="1" w:lastRow="0" w:firstColumn="1" w:lastColumn="0" w:noHBand="0" w:noVBand="1"/>
      </w:tblPr>
      <w:tblGrid>
        <w:gridCol w:w="6750"/>
        <w:gridCol w:w="2700"/>
      </w:tblGrid>
      <w:tr w:rsidR="00EF08A4" w:rsidRPr="0081095A" w:rsidTr="00350BD9">
        <w:tc>
          <w:tcPr>
            <w:tcW w:w="6750" w:type="dxa"/>
            <w:hideMark/>
          </w:tcPr>
          <w:p w:rsidR="00EF08A4" w:rsidRPr="0081095A" w:rsidRDefault="00EF08A4" w:rsidP="0078352B">
            <w:pPr>
              <w:keepNext/>
              <w:keepLines/>
              <w:jc w:val="both"/>
              <w:rPr>
                <w:b/>
              </w:rPr>
            </w:pPr>
            <w:r w:rsidRPr="0081095A">
              <w:rPr>
                <w:b/>
              </w:rPr>
              <w:t>Pay Item</w:t>
            </w:r>
          </w:p>
        </w:tc>
        <w:tc>
          <w:tcPr>
            <w:tcW w:w="2700" w:type="dxa"/>
            <w:hideMark/>
          </w:tcPr>
          <w:p w:rsidR="00EF08A4" w:rsidRPr="0081095A" w:rsidRDefault="00EF08A4" w:rsidP="0078352B">
            <w:pPr>
              <w:keepNext/>
              <w:keepLines/>
              <w:rPr>
                <w:b/>
              </w:rPr>
            </w:pPr>
            <w:r w:rsidRPr="0081095A">
              <w:rPr>
                <w:b/>
              </w:rPr>
              <w:t>Pay Unit</w:t>
            </w:r>
          </w:p>
        </w:tc>
      </w:tr>
      <w:tr w:rsidR="00EF08A4" w:rsidRPr="0081095A" w:rsidTr="00350BD9">
        <w:tc>
          <w:tcPr>
            <w:tcW w:w="6750" w:type="dxa"/>
            <w:hideMark/>
          </w:tcPr>
          <w:p w:rsidR="00EF08A4" w:rsidRPr="0081095A" w:rsidRDefault="00EF08A4">
            <w:pPr>
              <w:keepNext/>
              <w:keepLines/>
              <w:widowControl w:val="0"/>
              <w:jc w:val="both"/>
              <w:rPr>
                <w:szCs w:val="24"/>
              </w:rPr>
            </w:pPr>
            <w:r w:rsidRPr="0081095A">
              <w:t>Pavement Interlayer</w:t>
            </w:r>
          </w:p>
        </w:tc>
        <w:tc>
          <w:tcPr>
            <w:tcW w:w="2700" w:type="dxa"/>
            <w:hideMark/>
          </w:tcPr>
          <w:p w:rsidR="00EF08A4" w:rsidRPr="0081095A" w:rsidRDefault="00EF08A4">
            <w:pPr>
              <w:keepNext/>
              <w:keepLines/>
            </w:pPr>
            <w:r w:rsidRPr="0081095A">
              <w:rPr>
                <w:szCs w:val="24"/>
              </w:rPr>
              <w:t>Square Yard</w:t>
            </w:r>
          </w:p>
        </w:tc>
      </w:tr>
    </w:tbl>
    <w:p w:rsidR="006B44BD" w:rsidRPr="0078352B" w:rsidRDefault="006B44BD">
      <w:pPr>
        <w:pStyle w:val="Style1"/>
      </w:pPr>
    </w:p>
    <w:sectPr w:rsidR="006B44BD" w:rsidRPr="0078352B">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D28C7"/>
    <w:multiLevelType w:val="singleLevel"/>
    <w:tmpl w:val="0C882BD2"/>
    <w:lvl w:ilvl="0">
      <w:start w:val="1"/>
      <w:numFmt w:val="upperLetter"/>
      <w:lvlText w:val="(%1)"/>
      <w:lvlJc w:val="left"/>
      <w:pPr>
        <w:tabs>
          <w:tab w:val="num" w:pos="1110"/>
        </w:tabs>
        <w:ind w:left="1110" w:hanging="390"/>
      </w:pPr>
      <w:rPr>
        <w:rFonts w:hint="default"/>
      </w:rPr>
    </w:lvl>
  </w:abstractNum>
  <w:abstractNum w:abstractNumId="1" w15:restartNumberingAfterBreak="0">
    <w:nsid w:val="2FB60EB1"/>
    <w:multiLevelType w:val="singleLevel"/>
    <w:tmpl w:val="7DBAC9F6"/>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2C"/>
    <w:rsid w:val="0002549F"/>
    <w:rsid w:val="00036C52"/>
    <w:rsid w:val="0004159E"/>
    <w:rsid w:val="00054BAE"/>
    <w:rsid w:val="00087921"/>
    <w:rsid w:val="000D4D10"/>
    <w:rsid w:val="00155D2B"/>
    <w:rsid w:val="00191191"/>
    <w:rsid w:val="001B2D09"/>
    <w:rsid w:val="00280965"/>
    <w:rsid w:val="0028320C"/>
    <w:rsid w:val="002C5BB3"/>
    <w:rsid w:val="00333B3D"/>
    <w:rsid w:val="00341D0C"/>
    <w:rsid w:val="00350BD9"/>
    <w:rsid w:val="003E328F"/>
    <w:rsid w:val="003E4B91"/>
    <w:rsid w:val="00433DE3"/>
    <w:rsid w:val="0043500B"/>
    <w:rsid w:val="004D17AD"/>
    <w:rsid w:val="00540BC6"/>
    <w:rsid w:val="00572D1F"/>
    <w:rsid w:val="005C636B"/>
    <w:rsid w:val="00602984"/>
    <w:rsid w:val="00657627"/>
    <w:rsid w:val="00663571"/>
    <w:rsid w:val="006B44BD"/>
    <w:rsid w:val="006F0683"/>
    <w:rsid w:val="007112BB"/>
    <w:rsid w:val="007153C5"/>
    <w:rsid w:val="00754349"/>
    <w:rsid w:val="0078352B"/>
    <w:rsid w:val="007C3E68"/>
    <w:rsid w:val="007E5D0B"/>
    <w:rsid w:val="0081095A"/>
    <w:rsid w:val="00843DA7"/>
    <w:rsid w:val="00857359"/>
    <w:rsid w:val="00922C58"/>
    <w:rsid w:val="009A2F26"/>
    <w:rsid w:val="009B59DE"/>
    <w:rsid w:val="009B6E2C"/>
    <w:rsid w:val="009F4D43"/>
    <w:rsid w:val="00AE3C1E"/>
    <w:rsid w:val="00B601F4"/>
    <w:rsid w:val="00B8394E"/>
    <w:rsid w:val="00BE3F08"/>
    <w:rsid w:val="00CE04CE"/>
    <w:rsid w:val="00CE5F9C"/>
    <w:rsid w:val="00D041AF"/>
    <w:rsid w:val="00D1351A"/>
    <w:rsid w:val="00D14008"/>
    <w:rsid w:val="00D23310"/>
    <w:rsid w:val="00DB03DF"/>
    <w:rsid w:val="00E13B4B"/>
    <w:rsid w:val="00E35EDF"/>
    <w:rsid w:val="00EE4FAD"/>
    <w:rsid w:val="00EF08A4"/>
    <w:rsid w:val="00EF68F4"/>
    <w:rsid w:val="00F23EAF"/>
    <w:rsid w:val="00F664BF"/>
    <w:rsid w:val="00F72548"/>
    <w:rsid w:val="00FD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8BC3E6-310D-4EBD-A197-846C14F8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3600"/>
        <w:tab w:val="left" w:pos="5760"/>
        <w:tab w:val="left" w:pos="82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920"/>
      </w:tabs>
    </w:pPr>
    <w:rPr>
      <w:rFonts w:ascii="Arial" w:hAnsi="Arial"/>
    </w:rPr>
  </w:style>
  <w:style w:type="paragraph" w:customStyle="1" w:styleId="Style1">
    <w:name w:val="Style1"/>
    <w:basedOn w:val="Normal"/>
  </w:style>
  <w:style w:type="paragraph" w:styleId="BodyTextIndent">
    <w:name w:val="Body Text Indent"/>
    <w:basedOn w:val="Normal"/>
    <w:semiHidden/>
    <w:pPr>
      <w:ind w:left="720"/>
    </w:pPr>
  </w:style>
  <w:style w:type="table" w:styleId="TableGrid">
    <w:name w:val="Table Grid"/>
    <w:basedOn w:val="TableNormal"/>
    <w:uiPriority w:val="59"/>
    <w:rsid w:val="00D1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51A"/>
    <w:rPr>
      <w:rFonts w:ascii="Tahoma" w:hAnsi="Tahoma" w:cs="Tahoma"/>
      <w:sz w:val="16"/>
      <w:szCs w:val="16"/>
    </w:rPr>
  </w:style>
  <w:style w:type="character" w:customStyle="1" w:styleId="BalloonTextChar">
    <w:name w:val="Balloon Text Char"/>
    <w:link w:val="BalloonText"/>
    <w:uiPriority w:val="99"/>
    <w:semiHidden/>
    <w:rsid w:val="00D13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12" Type="http://schemas.openxmlformats.org/officeDocument/2006/relationships/customXml" Target="../customXml/item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2014-02</Let_x0020_Date>
    <Provision xmlns="784a3e5a-d042-400c-82be-d2d1c9c2e623">Pavement Interlayer</Provision>
    <_dlc_DocId xmlns="16f00c2e-ac5c-418b-9f13-a0771dbd417d">CONNECT-483-123</_dlc_DocId>
    <No_x002e_ xmlns="784a3e5a-d042-400c-82be-d2d1c9c2e623">SPD 06</No_x002e_>
    <_dlc_DocIdUrl xmlns="16f00c2e-ac5c-418b-9f13-a0771dbd417d">
      <Url>https://connect.ncdot.gov/resources/Specifications/_layouts/15/DocIdRedir.aspx?ID=CONNECT-483-123</Url>
      <Description>CONNECT-483-123</Description>
    </_dlc_DocIdUrl>
    <Provision_x0020_Number xmlns="784a3e5a-d042-400c-82be-d2d1c9c2e623">SPD 06-300</Provision_x0020_Number>
    <URL xmlns="http://schemas.microsoft.com/sharepoint/v3">
      <Url xsi:nil="true"/>
      <Description xsi:nil="true"/>
    </URL>
    <Provision_x0020_Year xmlns="784a3e5a-d042-400c-82be-d2d1c9c2e623">2018 Standard Specifications</Provision_x0020_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ef604a7-ebc4-47af-96e9-7f1ad444f50a"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08EC8-2A64-4FC4-BE3F-61211496B36B}"/>
</file>

<file path=customXml/itemProps2.xml><?xml version="1.0" encoding="utf-8"?>
<ds:datastoreItem xmlns:ds="http://schemas.openxmlformats.org/officeDocument/2006/customXml" ds:itemID="{92D0219A-8795-44C6-93DD-1FB7E885BD24}"/>
</file>

<file path=customXml/itemProps3.xml><?xml version="1.0" encoding="utf-8"?>
<ds:datastoreItem xmlns:ds="http://schemas.openxmlformats.org/officeDocument/2006/customXml" ds:itemID="{2D14C702-674A-4BDA-980E-C8CBAAE2E645}"/>
</file>

<file path=customXml/itemProps4.xml><?xml version="1.0" encoding="utf-8"?>
<ds:datastoreItem xmlns:ds="http://schemas.openxmlformats.org/officeDocument/2006/customXml" ds:itemID="{1F446AD8-96C8-4DA3-85C8-3328168E4D02}"/>
</file>

<file path=customXml/itemProps5.xml><?xml version="1.0" encoding="utf-8"?>
<ds:datastoreItem xmlns:ds="http://schemas.openxmlformats.org/officeDocument/2006/customXml" ds:itemID="{D579AA16-FDF5-4B1F-949D-CB7F2465AA87}"/>
</file>

<file path=customXml/itemProps6.xml><?xml version="1.0" encoding="utf-8"?>
<ds:datastoreItem xmlns:ds="http://schemas.openxmlformats.org/officeDocument/2006/customXml" ds:itemID="{5F00DD46-16DB-43E8-A619-B243212E9859}"/>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GENERAL CONDITIONS SPECIAL PROVISIONS</vt:lpstr>
    </vt:vector>
  </TitlesOfParts>
  <Company>NCDOT</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SPECIAL PROVISIONS</dc:title>
  <dc:creator>Surti, Nilesh</dc:creator>
  <cp:lastModifiedBy>Canales, Theresa A</cp:lastModifiedBy>
  <cp:revision>4</cp:revision>
  <cp:lastPrinted>2012-11-04T22:33:00Z</cp:lastPrinted>
  <dcterms:created xsi:type="dcterms:W3CDTF">2015-02-13T20:10:00Z</dcterms:created>
  <dcterms:modified xsi:type="dcterms:W3CDTF">2017-11-14T19:45:00Z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d8e39e62-af60-428a-8450-98fdef8baf96</vt:lpwstr>
  </property>
  <property fmtid="{D5CDD505-2E9C-101B-9397-08002B2CF9AE}" pid="4" name="ContentTypeId">
    <vt:lpwstr>0x010100B87C9378A4E4F943AD77D3B768D40520</vt:lpwstr>
  </property>
  <property fmtid="{D5CDD505-2E9C-101B-9397-08002B2CF9AE}" pid="5" name="Order">
    <vt:r8>12300</vt:r8>
  </property>
</Properties>
</file>